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PT12.046082 vom 4. Juli 2013</w:t>
      </w:r>
    </w:p>
    <w:p>
      <w:r>
        <w:t>VD Tribunal cantonal, 2013-07-04, FR</w:t>
      </w:r>
    </w:p>
    <w:p>
      <w:r>
        <w:rPr>
          <w:b/>
        </w:rPr>
        <w:t xml:space="preserve">Quelle: </w:t>
      </w:r>
      <w:r>
        <w:t>https://mcp.opencaselaw.ch/entscheid/vd_gerichte_PT12.046082</w:t>
      </w:r>
    </w:p>
    <w:p>
      <w:r>
        <w:t>FR: VD_GERICHTE PT12.046082 du 4 juillet 2013</w:t>
      </w:r>
    </w:p>
    <w:p>
      <w:r>
        <w:t>IT: VD_GERICHTE PT12.046082 del 4 luglio 2013</w:t>
      </w:r>
    </w:p>
    <w:p>
      <w:pPr>
        <w:pStyle w:val="Heading2"/>
      </w:pPr>
      <w:r>
        <w:t>Erwägungen</w:t>
      </w:r>
    </w:p>
    <w:p>
      <w:r>
        <w:rPr>
          <w:b/>
        </w:rPr>
        <w:t>E. 1</w:t>
      </w:r>
    </w:p>
    <w:p>
      <w:r>
        <w:t>La demanderesse, G.________SA, dont le siège est à Etoy, a pour but l'exploitation d'une entreprise de génie civil et de transports en tout genre. La défenderesse, U.________SA, dont le siège est sis à Lausanne, a pour but l'exploitation d'une entreprise générale dans le domaine de la construction, y compris la réalisation d'études techniques y relatives et la surveillance de travaux.</w:t>
      </w:r>
    </w:p>
    <w:p>
      <w:r>
        <w:rPr>
          <w:b/>
        </w:rPr>
        <w:t>E. 2</w:t>
      </w:r>
    </w:p>
    <w:p>
      <w:r>
        <w:t>a) Dans le cadre d'une promotion immobilière réalisée par la société Z.________SA et portant sur la réalisation de neuf villas contiguës à Bremblens, la défenderesse a conclu des contrats, en qualité d'entreprise générale, avec les différents propriétaires d'immeubles. Afin de réaliser les projets commandés, la défenderesse a eu recours aux services de la demanderesse pour des travaux de terrassement et de remblayage. Elle s'est acquittée d'un acompte d'un montant de 94'795 fr., hors taxe, sur la facture à payer pour les travaux précités. Certains maîtres d'ouvrage ayant refusé de payer la défenderesse, celle-ci a fait procéder à l'inscription d'hypothèques légales sur les parcelles en question.</w:t>
      </w:r>
    </w:p>
    <w:p>
      <w:r>
        <w:t>- 4 - b) Le 9 mars 2010, la demanderesse a adressé à la défenderesse une facture finale, pour un solde de 35'500 fr., payable dans les trente jours, dont le détail est le suivant: “Total hors taxe Fr. 133'084.28 ./. Rabais 2.00% Fr. 2'661.70 ./. Escompte 2.00% Fr. 2'608.45 ./. Arrondi Fr. 26.05 Sous-total Fr. 127'788.08 ./. Acompte reçu sit. n° 1 HT Fr. 94'795.55 Sous-total Fr. 32'992.53 + TVA 7.6% Fr. 2'507.45 Sous-total Fr. 35'499.98 Montant total net TTC Fr. 35'500.—“ Les 7 mai et 11 juin 2010, la demanderesse a adressé des rappels à la défenderesse. Par courrier du 22 juin 2010, le conseil de la défenderesse a écrit à la demanderesse ce qui suit : "(…) Ma mandante m'a porté à connaissance vos rappels de paiement ayant fait l'objet de la facture no [...] du 9 mars 2010. Son défaut de paiement à ce jour est seul imputable aux différents maîtres d'ouvrage respectifs de cette promotion qui ont refusé à leur tour d'honorer leurs obligations financières à l'égard de l'entreprise générale plaçant celle-ci dans une situation inconfortable à l'égard notamment des sous-traitants. J'entendais au moins vous indiquer qu'elle avait veillé à l'inscription d'hypothèques légales provisoires à l'encontre de tous les intéressés en demeure qui garantissent toutes les factures ouvertes des sous-traitants. Une procédure d'expertise hors procès a été également initiée dans l'objectif d'amener un expert à se prononcer très rapidement sur le bien-fondé des griefs excipés par les maîtres de l'ouvrage et sur les arrêtés de comptes définitifs de l'Entreprise Générale. Cette manière de faire pourrait faciliter le règlement à l'amiable et éviter des poursuites de contentieux longs et coûteux.</w:t>
      </w:r>
    </w:p>
    <w:p>
      <w:r>
        <w:t>- 5 - Ma mandante U.________SA a jugé tout à fait normal que vous soyez régulièrement informés de l'évolution de la situation et tient à vous remercier très sincèrement de la compréhension que vous lui réserverez. (…)" Par courrier du 11 mai 2011, la demanderesse a signalé à la défenderesse que malgré les rappels, elle était toujours sans nouvelles des procédures de recouvrement en cours, et a en conséquence requis que des informations lui soient fournies. Par lettre du 15 novembre 2011, la demanderesse a requis de la défenderesse qu'un premier acompte d'un montant minimal de 10'000 fr. lui soit versé avant la fin du mois, le solde pouvant être réglé à raison de mensualités de 5'000 fr. dès le 31 décembre 2011, le non-versement d'un acompte à son échéance rendant immédiatement exigible le solde. Par pli du 16 novembre 2011, le conseil de la défenderesse a adressé au conseil de la demanderesse les lignes suivantes : " (…) J’ai bien reçu votre courrier du 15 novembre écoulé qui a retenu ma meilleure attention. Je le fais suivre évidemment à mandante pour qu’elle en prenne connaissance. Cela dit, U.________SA a joué une totale transparence avec tous ses partenaires en leur expliquant que la situation était exclusivement due à une décision unilatérale de certains des propriétaires de la promotion immobilière [...] à Bremblens d’interrompre le paiement régulier des acomptes en cours d’exécution des travaux qu’ils n’ont d’ailleurs toujours pas régularisés à ce jour en dépit des multiples mises en demeure accomplies. U.________SA avait en son temps suggéré aux sous-traitants de préserver leurs intérêts notamment par le dépôt d’hypothèques légales des artisans et des entrepreneurs. Elle l'a fait également pour son compte, qui comprend la totalité des coûts des chantiers, soit indirectement pour le compte de ses sous-traitants dans la mesure où ses prétentions englobent les leurs. Point n’est de vous surprendre que votre mandante G.________SA n’est pas la seule à subir cette situation sans qu’aucun défaut ne puisse lui être reproché et imputé de la part des maîtres de I’ouvrage.</w:t>
      </w:r>
    </w:p>
    <w:p>
      <w:r>
        <w:t>- 6 - Les inscriptions provisoires des hypothèques légales sur les différents lots des propriétaires concernés ont été récemment validées par l’initiation des procédures arbitrales destinées à condamner à terme les propriétaires au paiement des sommes dues. Il va sans dire que U.________SA n’aura aucune hésitation à les affecter au paiement des sous-traitants, dont notamment votre mandante. (…)" Le 10 septembre 2012, la demanderesse a fait notifier un commandement de payer à la défenderesse, laquelle a formé opposition totale.</w:t>
      </w:r>
    </w:p>
    <w:p>
      <w:r>
        <w:t>- 7 -</w:t>
      </w:r>
    </w:p>
    <w:p>
      <w:r>
        <w:rPr>
          <w:b/>
        </w:rPr>
        <w:t>E. 3</w:t>
      </w:r>
    </w:p>
    <w:p>
      <w:r>
        <w:t>L’appelante fait valoir que le cas n'est pas clair au sens de l’art. 257 CPC. Elle expose qu’une procédure d’arbitrage l’oppose aux copropriétaires de la promotion immobilière de Bremblens et qu’une expertise hors procès effectuée à la suite d'une requête présentée par ces derniers a révélé des défauts dans la réalisation des aménagements extérieurs, notamment des rampes d’accès aux garages, entraînant une moins-value de 72'000 fr. pour l’ensemble de ces garages. Dans ce contexte, on ne peut exclure selon lui une responsabilité de l’intimée, qui avait réalisé les travaux de terrassement. Elle en tire argument pour nier l’existence d’un cas clair, dès lors qu'elle peut faire valoir à titre compensatoire une prétention récursoire contre l’intimée. Pour elle, compte tenu des limites très restrictives fixées par la jurisprudence dans l’interprétation de l'art. 257 CPC — en particulier dans les cas où le défendeur oppose une exception dont le bien-fondé apparaît vraisemblable (ATF 138 III 728 c. 3.2; ATF 138 III 620 c. 5.1.1; CACI du 3 octobre 2012/349) — qui sont justifiées par la ratio legis de cette norme et son champ d’application très restreint notamment dans les contentieux pécuniaires (Message du Conseil fédéral du 28 juin 2006 relatif au code de procédure civile suisse, FF 2006 [Message CPC] pp. 6959 et 6960; Bohnet, CPC commenté, Bâle 2011, n. 8 ad art. 257 CPC), le premier juge ne pouvait pas entrer en matière sur la requête en cas clair et il était tenu de renvoyer l'intimée à agir dans le cadre d’une procédure ordinaire. b) De manière générale, l’art. 257 CPC n’est pas seulement applicable lorsque l’état de fait est incontesté, mais également lorsqu’il est susceptible d’être immédiatement prouvé (ATF 138 III 728 c. 3.3; ATF 138 III 620 c. 5.1.1; TF 4A_585/2011 du 7 novembre 2011 c. 3.3.1, SJ 2012 I 122; Message CPC, p. 6959 ; Meier, Schweizerisches Zivilprozessrecht, Zurich 2010, pp. 374-375), notamment sur la base de moyens de preuve immédiatement disponibles, en particulier des pièces (Sutter- Somm/Lötscher, Kommentar zur Schweizerischen Zivilprozessordnung,</w:t>
      </w:r>
    </w:p>
    <w:p>
      <w:r>
        <w:t>- 11 - Zurich 2010, n. 5 ad art. 257 CPC; Gösku, DIKE Komm ZPO, Zurich 2011, n.</w:t>
      </w:r>
    </w:p>
    <w:p>
      <w:r>
        <w:rPr>
          <w:b/>
        </w:rPr>
        <w:t>E. 8</w:t>
      </w:r>
    </w:p>
    <w:p>
      <w:r>
        <w:t>ad art. 257 CPC; ATF 138 III 123 c. 2.1; CACI 16 mai 2013/260 c. 3b).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 5.1.1). Le fait pour le défendeur d’avancer des arguments sans proposer le moindre indice à leur appui et sans mentionner les preuves des moyens qu’il invoque ne remet pas en cause le cas clair (Bohnet, note in RSPC 2013 p. 136; Bohnet, Le défendeur et le cas clair, Newsletter Bail.ch décembre 2012 p. 2). Le fait que le juge doive requérir la production de certaines pièces ne permet pas d’exclure la protection en cas clair. Au contraire, dans ces cas, la preuve peut non seulement être rapportée par titre (cf. art. 254 al. 1 CPC), mais également par tous autres moyens si leur administration ne retarde pas sensiblement la procédure (cf. art. 254 al. 2 let a CPC; JT 2011 III 146; ATF 138 III 123 c. 2.1 s’agissant de la production de pièces; CACI 29 mars 2012/157). La situation juridique est claire lorsque, sur la base d’une doctrine ou d’une jurisprudence éprouvée, la norme s’applique au cas concret et y déploie ses effets de manière évidente (ATF 118 Il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 123 c. 2.1.2; TF 4A_273/2012 du 30 octobre 2012 c. 5.1.2, non publié in ATF 138 III 620).</w:t>
      </w:r>
    </w:p>
    <w:p>
      <w:r>
        <w:t>- 12 - c) En l’espèce, la question à résoudre se rapproche de celle tranchée par la Cour de céans dans un arrêt récent (CACI 16 mai 2013/260). Dans cette précédente affaire, les faits allégués par la demanderesse et la créance en paiement qu’elle avait portée en justice n’était pas contestés par la défenderesse mais celle-ci soutenait que le cas clair n’était pas réalisé étant donné que, d’une part, elle bénéficiait d’un sursis concordataire qui avait pour effet de suspendre les procédures dirigées contre elle et qu’on ignorait tout du sort des productions dans le cadre de cette procédure et que, d’autre part, la demanderesse avait requis un cautionnement du maître de l’ouvrage, soit une collectivité publique, en application de l’art. 839 al. 4 CC (Code civil suisse du 10 décembre 1907, RS 210), et qu’à supposer que cette collectivité publique ait payé par hypothèse tout ou partie de la créance, celle-ci aurait été éteinte dans la même mesure. Or, la Cour d'appel civile a considéré que ces questions pouvaient demeurer indécises, vu que les procédures en cas clair pouvaient être assimilées aux procédures visées par l’art. 207 LP (Loi fédérale du 11 avril 1889 sur la poursuite pour dettes et la faillite; RS 281.1), qui nécessitent un règlement rapide et ne peuvent rester en suspens jusqu’à la seconde assemblée des créanciers, et que la défenderesse n’avait pas requis la moindre preuve concernant le sort du cautionnement, alors même qu’elle aurait aisément obtenu la mise en oeuvre de cette mesure d’instruction simple et pertinente, qui entrait dans le cadre de la procédure dans les cas clairs et n’était pas de nature à retarder sensiblement celle-ci ; cela étant, il y avait lieu d’admettre que la supposition que la collectivité publique ait payé tout ou partie de la créance litigieuse était dépourvue de consistance. Cette jurisprudence, démontre que l’admission du cas clair ne présuppose pas nécessairement un état de fait définitif sur l’ensemble des rapports entre les parties. Ce qui est déterminant, c’est la démonstration du caractère fondé de la prétention émise par le demandeur. Dans la mesure où l’état de fait avancé par celui-ci apparaît immédiatement, ou ressort avec évidence d’une instruction limitée dans le cadre de la</w:t>
      </w:r>
    </w:p>
    <w:p>
      <w:r>
        <w:t>- 13 - procédure sommaire, et où les effets juridiques de cette situation de fait s’imposent clairement, les autres retombées éventuelles de ces rapports ou d’autres litiges possibles entre les parties ne sauraient à eux seuls faire échec à l’admission du cas clair. En conséquence, il importe peu dans la présente cause que l’appelante soit partie à une procédure d’arbitrage engagée par les maîtres de l’ouvrage et que, en théorie, l’implication de l’intimée du fait d’éventuelles malfaçons présentées par les travaux de terrassement puisse se concrétiser ultérieurement, ce d'autant plus qu'il n'est aucunement établi que les malfaçons soient le fait de l'intimée. En effet, le rapport d’expertise établi par [...] n’indique pas que les travaux réalisés par l’intimée seraient défectueux et il ne mentionne d’ailleurs nullement cette dernière. C’est donc à bon droit que le premier juge a écarté les objections de l’appelante portant sur la responsabilité hypothétique de l’intimée résultant d’éventuels défauts présentés par le terrassement de la promotion de Bremblens. Comme on l'a vu précédemment, l'objection de compensation invoquée par l'appelante est tardive (cf. supra c 2b). De toute manière, même si elle avait été invoquée en temps utile, elle aurait dû être écartée dès lors que l'appelante en est uniquement au stade des hypothèses avec la perspective lointaine et incertaine d’une éventuelle action récursoire. Dans un tel cas de figure, il n’y a pas place pour une compensation, cette institution juridique présupposant la détermination, la connaissance et l’exigibilité des créances, respectivement des dettes susceptibles de s’annuler en tout ou partie (art. 120 al. 1 CO). Ainsi, le raisonnement suivi par l’appelante est basé sur une méconnaissance de la nature réelle des objections que le défendeur peut soulever pour empêcher l’admission du cas clair. Il ne s’agit pas, comme elle le soutient, de permettre à une partie défenderesse dans une procédure en cas clair d’intégrer dans la cause des éléments n’ayant pas un lien direct et actuel avec celle-ci et uniquement susceptibles de modifier ultérieurement ses rapports de droit avec la partie</w:t>
      </w:r>
    </w:p>
    <w:p>
      <w:r>
        <w:t>- 14 - demanderesse. De cette façon, en se prémunissant de toute circonstance future incertaine et en cherchant à garantir ses droits hypothétiques, la partie défenderesse pourrait empêcher indûment l’application de la procédure en cas clair, alors même que la cause en remplirait les conditions. En réalité, les exceptions et objections défensives envisageables dans une telle procédure doivent être actuelles et concrètes, à défaut de quoi le juge ne devra pas en tenir compte dans l’examen des conditions du cas clair. Cela étant, c’est à bon droit que le premier juge n’a pas pris en compte les éléments nouveaux invoqués par l’appelante. Pour le surplus, le premier juge a constaté que l'appelante n’avait contesté "à aucun moment" l’état de fait exposé par l’intimée. Cette reconnaissance pleine et entière est confirmée par la correspondance adressée le 22 juin 2010 à l’intimée par le conseil de l’appelante, dans laquelle celui-ci expose que le "défaut de paiement" de sa cliente "est seul imputable aux différents maîtres d’ouvrage respectifs de cette promotion qui ont refusé à leur tour d’honorer leurs obligations financières à l’égard de l’entreprise générale plaçant celle-ci dans une situation inconfortable à l’égard notamment des sous-traitants". Cette déclaration est éloquente: l’appelante concède n’avoir pas honoré sa dette à l’égard de l’intimée car elle n’a elle-même pas été payée par les maîtres d’ouvrage. Elle ne saurait donc de bonne foi remettre en cause le principe ou la quotité de son obligation pécuniaire, notamment en mettant en avant l’absence de production du contrat d’adjudication et du procès- verbal de réception des travaux. Cette reconnaissance est déterminante sur le plan juridique, ainsi que le premier juge l’a justement relevé. L’appelante a admis le principe et la quotité de la créance objet des rappels de l’intimée et, mise à part son argumentation relative à son litige avec les copropriétaires, elle n’a pas soulevé en procédure un quelconque moyen tendant à démontrer qu’elle n’était pas débitrice de cette dernière du montant litigieux. On</w:t>
      </w:r>
    </w:p>
    <w:p>
      <w:r>
        <w:t>- 15 - peut donc confirmer entièrement l’appréciation du premier juge sur ce point. 4. En conclusion, l'appel doit être rejeté selon le mode procédural de l'art. 312 al. 1 CPC et le jugement de première instance confirmé. Les frais judiciaires, arrêtés à 1'355 fr. (art. 62 al. 1 TFJC [tarif des frais judiciaires civils du 28 septembre 2010; RSV 270.11.5]), sont mis à la charge de l'appelante qui succombe (art. 106 al.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