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PT10.021938 vom 6. August 2014</w:t>
      </w:r>
    </w:p>
    <w:p>
      <w:r>
        <w:t>VD Tribunal cantonal, 2014-08-06, FR</w:t>
      </w:r>
    </w:p>
    <w:p>
      <w:r>
        <w:rPr>
          <w:b/>
        </w:rPr>
        <w:t xml:space="preserve">Quelle: </w:t>
      </w:r>
      <w:r>
        <w:t>https://mcp.opencaselaw.ch/entscheid/vd_gerichte_PT10.021938</w:t>
      </w:r>
    </w:p>
    <w:p>
      <w:r>
        <w:t>FR: VD_GERICHTE PT10.021938 du 6 août 2014</w:t>
      </w:r>
    </w:p>
    <w:p>
      <w:r>
        <w:t>IT: VD_GERICHTE PT10.021938 del 6 agosto 2014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Le conseil d’office de l’appelant a déposé une liste de ses opérations dont il ressort qu’il a consacré 15 h 30 au dossier, soit 930 minutes. Toutefois les opérations antérieures à la rédaction de l’appel et au dépôt de la demande d’assistance judiciaire, soit celles effectuées du</w:t>
      </w:r>
    </w:p>
    <w:p>
      <w:r>
        <w:t>- 37 -</w:t>
      </w:r>
    </w:p>
    <w:p>
      <w:r>
        <w:rPr>
          <w:b/>
        </w:rPr>
        <w:t>E. 12</w:t>
      </w:r>
    </w:p>
    <w:p>
      <w:r>
        <w:t>décembre 2013 au 12 mars 2014, par 110 minutes ne sont pas couvertes par l’assistance judiciaire. Le temps nécessaire à la procédure d’appel doit ainsi être arrêté à 13,6 heures, soit 820 minutes (930 – 110). Au tarif horaire de 180 fr. (art. 2 al. 1 let. a RAJ [règlement du 7 décembre 2010 sur l’assistance judiciaire en matière civile ; RSV 211.02.3]) l’indemnité s’élève à 2'460 fr., montant auquel il convient d’ajouter la TVA à 8 %, par 196 fr. 80, ce qui donne une indemnité globale de 2'657 francs.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