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PT10.011568 vom 14. August 2013</w:t>
      </w:r>
    </w:p>
    <w:p>
      <w:r>
        <w:t>VD Tribunal cantonal, 2013-08-14, FR</w:t>
      </w:r>
    </w:p>
    <w:p>
      <w:r>
        <w:rPr>
          <w:b/>
        </w:rPr>
        <w:t xml:space="preserve">Quelle: </w:t>
      </w:r>
      <w:r>
        <w:t>https://mcp.opencaselaw.ch/entscheid/vd_gerichte_PT10.011568</w:t>
      </w:r>
    </w:p>
    <w:p>
      <w:r>
        <w:t>FR: VD_GERICHTE PT10.011568 du 14 août 2013</w:t>
      </w:r>
    </w:p>
    <w:p>
      <w:r>
        <w:t>IT: VD_GERICHTE PT10.011568 del 14 agosto 2013</w:t>
      </w:r>
    </w:p>
    <w:p>
      <w:pPr>
        <w:pStyle w:val="Heading2"/>
      </w:pPr>
      <w:r>
        <w:t>Erwägungen</w:t>
      </w:r>
    </w:p>
    <w:p>
      <w:r>
        <w:rPr>
          <w:b/>
        </w:rPr>
        <w:t>E. 1</w:t>
      </w:r>
    </w:p>
    <w:p>
      <w:r>
        <w:t>P.________, titulaire d’un diplôme d’institutrice primaire, a été engagée par l’Etat de Vaud, selon contrat de droit privé du 2 août 1990. Ce contrat prévoyait que l’engagement, de durée indéterminée, débuterait</w:t>
      </w:r>
    </w:p>
    <w:p>
      <w:r>
        <w:t>- 4 - le 1er août 1990. La durée hebdomadaire de travail de la prénommée était de 8/28ème pour un salaire annuel brut de 19’914 fr. 25. Les dispositions générales annexées au contrat de travail précité prévoyaient notamment ce qui suit : "3. La résiliation des rapports de service lors d’un engagement d’une durée indéterminée peut intervenir de part et d’autre et en tout temps moyennant avertissement écrit donné: - au moins un mois à l’avance pour la fin d’un mois; - deux mois à l’avance pour la fin d’un mois si le contrat d’engagement a duré plus d’un an. (...)</w:t>
      </w:r>
    </w:p>
    <w:p>
      <w:r>
        <w:rPr>
          <w:b/>
        </w:rPr>
        <w:t>E. 6</w:t>
      </w:r>
    </w:p>
    <w:p>
      <w:r>
        <w:t>On ne voit en outre aucune inégalité de traitement entre l’enseignante titulaire et l’enseignante non titulaire, dès lors que les conditions d’engagement de la personne non titulaire ont été clairement posées dans le contrat accepté par l’appelante. Celle-ci ne pouvait ainsi ignorer à quelles conditions elle était engagée. Au sein du "duo pédagogique", V.________ était l’enseignante titulaire qui bénéficiait d’un congé partiel mais à qui le poste d’enseignante à temps plein était réservé alors que l’appelante ne faisait que compléter le poste de l’enseignante titulaire. Comme retenu à juste titre par les premiers juges, les situations des intéressées étaient différentes, ce qui justifiait de leur allouer un statut différent. Le grief tiré d’une situation inéquitable est infondé.</w:t>
      </w:r>
    </w:p>
    <w:p>
      <w:r>
        <w:rPr>
          <w:b/>
        </w:rPr>
        <w:t>E. 7</w:t>
      </w:r>
    </w:p>
    <w:p>
      <w:r>
        <w:t>L’appelante ne critique pas dans son appel l’application faite par les premiers juges des dispositions générales annexées au contrat, en lien avec l’art. 335a al. 1 CO (cf. jugement attaqué, pp. 29 et 30). Cela étant, il y a lieu de considérer la résiliation au 31 août 1996 comme valable, ce d’autant qu’elle est pleinement conforme aux dispositions générales.</w:t>
      </w:r>
    </w:p>
    <w:p>
      <w:r>
        <w:rPr>
          <w:b/>
        </w:rPr>
        <w:t>E. 8</w:t>
      </w:r>
    </w:p>
    <w:p>
      <w:r>
        <w:t>L’appelante ne démontre pas en quoi les premiers juges auraient violé le droit fédéral applicable à titre supplétif (art. 49 CO), en ayant rejeté ses conclusions en réparation de son tort moral. Elle ne démontre pas en quoi les circonstances de son licenciement auraient durablement et intensément porté atteinte à son</w:t>
      </w:r>
    </w:p>
    <w:p>
      <w:r>
        <w:t>- 19 - bien-être psychique, se contentant de se référer aux "motifs évoqués ci- dessus tenant à la réforme du jugement de première instance". On observera par ailleurs que le fait que l’appelante ait été très choquée et blessée par l’attitude de plusieurs collaborateurs de l’intimé les mois précédents et suivants la résiliation des rapports de travail est insuffisant sous l’angle de l’atteinte illicite à la personnalité au sens de l’art. 49 CO.</w:t>
      </w:r>
    </w:p>
    <w:p>
      <w:r>
        <w:rPr>
          <w:b/>
        </w:rPr>
        <w:t>E. 9</w:t>
      </w:r>
    </w:p>
    <w:p>
      <w:r>
        <w:t>En conclusion, l’appel doit être rejeté et le jugement entrepris confirmé. Les frais judiciaires de deuxième instance, arrêtés à 825 fr. (art. 62 al. 1 et 67 al. 3 TFJC [tarif des frais judiciaires civils du 28 septembre 2010; RSV 270.11.5]), sont mis à la charge de l’appelante qui succombe (art. 106 al. 1 CPC). Il n’y a pas lieu d’allouer de dépens de deuxième instance à l’intimé, qui n’a pas consulté de mandataire extérieur et plaide sa propre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