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PT09.030130 vom 24. August 2011</w:t>
      </w:r>
    </w:p>
    <w:p>
      <w:r>
        <w:t>VD Tribunal cantonal, 2011-08-24, FR</w:t>
      </w:r>
    </w:p>
    <w:p>
      <w:r>
        <w:rPr>
          <w:b/>
        </w:rPr>
        <w:t xml:space="preserve">Quelle: </w:t>
      </w:r>
      <w:r>
        <w:t>https://mcp.opencaselaw.ch/entscheid/vd_gerichte_PT09.030130</w:t>
      </w:r>
    </w:p>
    <w:p>
      <w:r>
        <w:t>FR: VD_GERICHTE PT09.030130 du 24 août 2011</w:t>
      </w:r>
    </w:p>
    <w:p>
      <w:r>
        <w:t>IT: VD_GERICHTE PT09.030130 del 24 agosto 2011</w:t>
      </w:r>
    </w:p>
    <w:p>
      <w:pPr>
        <w:pStyle w:val="Heading2"/>
      </w:pPr>
      <w:r>
        <w:t>Erwägungen</w:t>
      </w:r>
    </w:p>
    <w:p>
      <w:r>
        <w:rPr>
          <w:b/>
        </w:rPr>
        <w:t>E. 4</w:t>
      </w:r>
    </w:p>
    <w:p>
      <w:r>
        <w:t>Obtenant gain de cause, la recourante a droit à l’allocation de dépens de deuxième instance, par 1802 fr., montant comprenant le remboursement de ses frais de justice, réparti par moitié entre chaque partie intimée. Les frais de justice de deuxième instance de la recourante sont arrêtés à 602 fr. (art. 232 al. 1 aTFJ [tarif des frais judiciaires en matière civile du 4 décembre 1984]). Des dépens de première instance, arrêtés à 1850 fr., doivent être alloués à la requérante et mis à la charge des intimés, chacun par moitié. Par ces motifs, la Chambre des recours du Tribunal cantonal, statuant en audience publique, prononce : I. Le recours est admis. II. Le jugement incident est réformé comme il suit: I. J.________Sàrl est autorisée à appeler en cause C.________, afin de prendre contre lui les conclusions suivantes: " C.________ est tenu de relever J.________Sàrl de toute condamnation en capital, intérêts, frais et</w:t>
      </w:r>
    </w:p>
    <w:p>
      <w:r>
        <w:t>- 14 - dépens, dont J.________Sàrl pourrait faire l'objet dans le présent procès la divisant d'avec Z.________". II. Un délai de vingt jours dès celui où le présent jugement sera devenu définitif est fixé à l'appelé C.________ pour demander à son tour d'appeler en cause une autre personne. III. Les frais de la procédure incidente sont arrêtés à 650 fr. (six cent cinquante francs) pour la requérante. IV. Les intimés Z.________ et C.________ doivent verser, chacun par moitié, à la recourante J.________Sàrl la somme de 1'850 (mille huit cent cinquante francs) à titre de dépens. III. Les frais de deuxième instance de la recourante sont arrêtés à 602 fr. (six cent deux francs). IV. Les intimés Z.________ et C.________ doivent verser, chacun par moitié, à la recourante J.________Sàrl la somme de 1'802 fr. (mille huit cent deux francs) à titre de dépens de deuxième instance. V. L'arrêt motivé est exécutoire. Le président : La greffière :</w:t>
      </w:r>
    </w:p>
    <w:p>
      <w:r>
        <w:t>- 15 - Du 24 août 2011 Le dispositif de l'arrêt qui précède est communiqué par écrit aux intéressés. La greffière : Du L'arrêt qui précède, dont la rédaction a été approuvée à huis clos, est notifié en expédition complète, par l'envoi de photocopies à : - Me Marc-Olivier Buffat (pour J.________Sàrl), - Me Dominique-Anne Kirchhofer (pour Z.________), - Me Angelo Ruggiero (pour C.________). La Chambre des recours considère que la valeur litigieuse est de 30'295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