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PT09.030078 vom 16. Mai 2014</w:t>
      </w:r>
    </w:p>
    <w:p>
      <w:r>
        <w:t>VD Tribunal cantonal, 2014-05-16, FR</w:t>
      </w:r>
    </w:p>
    <w:p>
      <w:r>
        <w:rPr>
          <w:b/>
        </w:rPr>
        <w:t xml:space="preserve">Quelle: </w:t>
      </w:r>
      <w:r>
        <w:t>https://mcp.opencaselaw.ch/entscheid/vd_gerichte_PT09.030078</w:t>
      </w:r>
    </w:p>
    <w:p>
      <w:r>
        <w:t>FR: VD_GERICHTE PT09.030078 du 16 mai 2014</w:t>
      </w:r>
    </w:p>
    <w:p>
      <w:r>
        <w:t>IT: VD_GERICHTE PT09.030078 del 16 maggio 2014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conclusion, l’appel doit être rejeté et le jugement confirmé. Les frais judiciaires de deuxième instance, arrêtés à 1'306 fr. (art. 62 al. 1 TFJC [tarif des frais judiciaires civils du 28 septembre 2010 ; RSV 270.11.5]), sont mis à la charge de l’appelante qui succombe (art. 106 al. 1 CPC), et sont compensés avec l’avance de frais fournie (art. 111 al. 1 CPC). Ils ne comprennent par les frais de publication du présent appel, qui doivent également être supportés par l’appelante. Le chiffre III du dispositif de l’arrêt notifié le 16 mai 2014 a omis de le préciser. Dès lors qu’il s’agit d’un oubli manifeste, le dispositif peut être rectifié d’office (art. 334 al. 1 CPC).</w:t>
      </w:r>
    </w:p>
    <w:p>
      <w:r>
        <w:t>- 21 - L’appelante doit verser à l’intimée la somme de 1'500 fr. à titre de dépens de deuxième instance (art. 7 al. 1 TDC [tarif des dépens en matière civile ;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