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PT09.029361 vom 13. April 2011</w:t>
      </w:r>
    </w:p>
    <w:p>
      <w:r>
        <w:t>VD Tribunal cantonal, 2011-04-13, FR</w:t>
      </w:r>
    </w:p>
    <w:p>
      <w:r>
        <w:rPr>
          <w:b/>
        </w:rPr>
        <w:t xml:space="preserve">Quelle: </w:t>
      </w:r>
      <w:r>
        <w:t>https://mcp.opencaselaw.ch/entscheid/vd_gerichte_PT09.029361</w:t>
      </w:r>
    </w:p>
    <w:p>
      <w:r>
        <w:t>FR: VD_GERICHTE PT09.029361 du 13 avril 2011</w:t>
      </w:r>
    </w:p>
    <w:p>
      <w:r>
        <w:t>IT: VD_GERICHTE PT09.029361 del 13 aprile 2011</w:t>
      </w:r>
    </w:p>
    <w:p>
      <w:pPr>
        <w:pStyle w:val="Heading2"/>
      </w:pPr>
      <w:r>
        <w:t>Erwägungen</w:t>
      </w:r>
    </w:p>
    <w:p>
      <w:r>
        <w:rPr>
          <w:b/>
        </w:rPr>
        <w:t>E. 4</w:t>
      </w:r>
    </w:p>
    <w:p>
      <w:r>
        <w:t>La recourante fait valoir qu'elle a produit à l'appui de son recours toutes les pièces justifiant qu'elle a effectué ses prestations conformément au contrat de web-marketing conclu avec la défenderesse et la société A.________, soit qu'elle a avancé le paiement des frais facturés par [...] d'une part, et accompli son travail de marketing d'autre part. L'art. 82 CO (Code des obligations du 30 mars 1911; RS 220) prévoit que celui qui poursuit l'exécution d'un contrat bilatéral doit avoir exécuté ou offrir d'exécuter sa propre obligation, à moins qu'il ne soit au bénéfice d'un terme d'après les clauses ou la nature du contrat. Conformément à la doctrine et à la jurisprudence, une fois que le défendeur débiteur a invoqué l'exception d'inexécution de la prestation du demandeur créancier, il appartient à ce dernier de prouver qu'il a exécuté ou offert d'exécuter sa propre prestation, et ce conformément à la règle générale qui veut que celui qui se prévaut de son exécution l'établisse (Fabienne Hohl, Commentaire romand, 2003, no 11 ad art. 82 CO; Pierre Engel, Traité des obligations en droit suisse, 1997, p. 657; ATF 123 III 16, JT 1999 I 99). Comme le relève le jugement entrepris, il appartenait à la demanderesse de prouver qu'elle avait exécuté ou offert d'exécuter sa propre prestation, conformément à l'art. 82 CO. Or, mis à part le document produit sous la pièce 20 du bordereau du 1er septembre 2009, qui se présente sous la forme d'un récapitulatif des factures adressées par la demanderesse à la défenderesse avec l'indication du "reste à encaisser", et les différentes notes de frais produites sous le bordereau complémentaire du 2 août 2010, la demanderesse n'a nullement apporté la preuve du travail fourni et de son ampleur. A cet égard, la référence au contrat de prestations de web-marketing conclu entre la défenderesse et</w:t>
      </w:r>
    </w:p>
    <w:p>
      <w:r>
        <w:t>- 10 - la société A.________ ne suffit pas pour justifier le fondement des prétentions de la demanderesse, que celles-ci concernent les remboursements de frais [...] ou sa propre rémunération, soit sa participation au bénéfice généré. De surcroît, les nouvelles pièces produites devant la Cour de céans étant écartées, la recourante ne saurait en retirer un quelconque moyen relatif à l'exécution de ses prestations dans le cadre du présent recours. Pour le surplus, les motifs du jugement attaqué à l'appui du rejet des conclusions de la demanderesse, complets et convaincants, peuvent être ici purement et simplement confirmés en vertu de l'art. 471 al. 3 CPC-VD.</w:t>
      </w:r>
    </w:p>
    <w:p>
      <w:r>
        <w:rPr>
          <w:b/>
        </w:rPr>
        <w:t>E. 5</w:t>
      </w:r>
    </w:p>
    <w:p>
      <w:r>
        <w:t>En conclusion, le recours doit être rejeté en application de l'art. 465 al. 1 CPC-VD et le jugement confirmé. Les frais de deuxième instance, arrêtés à 739 fr. (art. 232 TFJC [tarif des frais judiciaires en matière civile du 4 décembre 1984; RSV 270.11.5]), sont mis à la charge de la recourante, qui succombe. Par ces motifs, la Chambre des recours du Tribunal cantonal, statuant à huis clos, en application de l'art. 465 al. 1 CPC, prononce : I. Le recours est rejeté dans la mesure où il est recevable. II. Le jugement est confirmé. III. Les frais de deuxième instance de la recourante Z.________ sont arrêtés à 739 fr. (sept cent trente-neuf francs).</w:t>
      </w:r>
    </w:p>
    <w:p>
      <w:r>
        <w:t>- 11 - IV. L'arrêt motivé est exécutoire. Le président : La greffière : Du 13 avril 2011 Le dispositif de l'arrêt qui précède est communiqué par écrit aux intéressés. La greffière : Du L'arrêt qui précède, dont la rédaction a été approuvée à huis clos, est notifié en expédition complète, par l'envoi de photocopies, à : - Me Daniel Udry (pour Z.________), - Me Laurent Fischer (pour J.________). La Chambre des recours considère que la valeur litigieuse est de 43'989 francs et 10 centimes.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