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PT09.003556 vom 10. März 2010</w:t>
      </w:r>
    </w:p>
    <w:p>
      <w:r>
        <w:t>VD Tribunal cantonal, 2010-03-10, FR</w:t>
      </w:r>
    </w:p>
    <w:p>
      <w:r>
        <w:rPr>
          <w:b/>
        </w:rPr>
        <w:t xml:space="preserve">Quelle: </w:t>
      </w:r>
      <w:r>
        <w:t>https://mcp.opencaselaw.ch/entscheid/vd_gerichte_PT09.003556</w:t>
      </w:r>
    </w:p>
    <w:p>
      <w:r>
        <w:t>FR: VD_GERICHTE PT09.003556 du 10 mars 2010</w:t>
      </w:r>
    </w:p>
    <w:p>
      <w:r>
        <w:t>IT: VD_GERICHTE PT09.003556 del 10 marzo 2010</w:t>
      </w:r>
    </w:p>
    <w:p>
      <w:pPr>
        <w:pStyle w:val="Heading2"/>
      </w:pPr>
      <w:r>
        <w:t>Erwägungen</w:t>
      </w:r>
    </w:p>
    <w:p>
      <w:r>
        <w:rPr>
          <w:b/>
        </w:rPr>
        <w:t>E. 2</w:t>
      </w:r>
    </w:p>
    <w:p>
      <w:r>
        <w:t>a) Le 14 mars 1998, P2.________ et P1.________ ont chacun signé une proposition d'assurance sur la vie Trendvalor FL1 auprès de A.________ SA. La police d'assurance sur la vie Trendvalor FL1 de P1.________ a été établie le 3 avril 1998 auprès de A.________ SA et mentionne une prime unique de 15'000 dollars US, et celle de P2.________ a été établie le 8 avril 1998, également auprès de A.________ SA, pour une prime unique de 20'000 dollars US. Le chiffre 16 des conditions générales de l'assurance sur la vie Trendvalor FL1, applicables aux deux contrats, prévoit ce qui suit: "Le for est à Vaduz; le droit du Liechtenstein est applicable". b) A.S.________ SA commercialisait un produit intitulé Trendvalor V. c) Dans la demande au fond, les époux P.________ relèvent que, de 1999 à 2007, ils ont reçu chaque année une attestation de A.________ SA confirmant que les polices d'assurance sur la vie Trendvalor FL1 étaient</w:t>
      </w:r>
    </w:p>
    <w:p>
      <w:r>
        <w:t>- 3 - liées aux performances du marché des actions suisses et insistant sur un rendement annuel minimum garanti de 3%. Comme l'assurance est émise en dollars US, à l'échéance, A.________ SA doit donc restituer des dollars, alors qu'elle a effectué des placements en francs suisses. les époux P.________ constatent que les polices d'assurance qu'ils ont conclu leur font courir un risque et que A.________ SA peut conserver la perte de change subie par ses assurés. les époux P.________ allèguent qu'à aucun moment A.________ SA ou A.S.________ SA n'a attiré leur attention sur le risque qu'ils prenaient à souscrire une police d'assurance vie libellée dans une monnaie étrangère. Ils estiment donc que les assurances vie qu'ils ont conclues sont illicites et immorales.</w:t>
      </w:r>
    </w:p>
    <w:p>
      <w:r>
        <w:rPr>
          <w:b/>
        </w:rPr>
        <w:t>E. 3</w:t>
      </w:r>
    </w:p>
    <w:p>
      <w:r>
        <w:t>Par demande du 30 janvier 2009, les époux P.________ ont ouvert action en paiement contre A.________ SA et A.S.________ SA. Ils ont pris, sous suite de dépens, les conclusions suivantes: "I.Les défenderesses A.________ SA et A.S.________ SA, sont débitrices solidairement entre elles de P1.________ et lui doivent immédiat paiement de la somme de CHF 30'359 (trente mille trois cent cinquante-neuf francs), plus intérêt à 5% l'an dès le 28 mars 2008. II. Les défenderesses A.________ SA et A.S.________ SA, sont débitrices solidairement entre elles de P2.________ et lui doivent immédiat paiement de la somme de CHF 40'478 (quarante mille quatre cent septante-huit francs), plus intérêt à 5% l'an dès le 28 mars 2008."</w:t>
      </w:r>
    </w:p>
    <w:p>
      <w:r>
        <w:rPr>
          <w:b/>
        </w:rPr>
        <w:t>E. 4</w:t>
      </w:r>
    </w:p>
    <w:p>
      <w:r>
        <w:t>La recourante A.S.________ SA, dont le siège est à Lausanne, n'est pas partie au contrat conclu le 14 mars 1998 entre A.________ SA et les intimés; elle a été attraite au procès en fonction d'un prétendu acte</w:t>
      </w:r>
    </w:p>
    <w:p>
      <w:r>
        <w:t>- 6 - illicite ayant amené les intimés à souscrire le contrat d'assurance litigieux, notamment dans l'ignorance du risque de la perte de change de dollars en francs suisses, épargnée par la société liechtensteinoise. Faute de toute instruction sur la réalité des indications erronées de la part des recourantes ou d'une incitation à souscrire en méconnaissance de cause, l'on doit statuer sur le déclinatoire en supposant à ce stade du procès que les allégations factuelles des intimés sont exactes. En effet, lorsque l'examen de la compétence du tribunal se recoupe avec celui du bien- fondé de la demande, les faits justifiant à la fois la compétence et les prétentions au fond, s'ils sont contestés, seront présumés réalisés pour l'examen de la compétence et ils ne devront être prouvés qu'au moment où le juge statuera sur le fond (théorie de la double pertinence; ATF 134 III 27 c. 6.2.1 p. 34; ATF 133 III 295 c. 6.2 pp. 298/299). Un acte illicite fonde la compétence des tribunaux du lieu où l'acte illicite s'est produit ou encore où le résultat dommageable s'est produit (art. 129 al. 1 deuxième phrase LDIP). En l'espèce, les propositions faites aux intimés, selon leur demande, à l'instigation de la recourante A.S.________ SA sur le territoire vaudois, tout comme le résultat dommageable reproché au patrimoine des intimés, domiciliés dans ce canton suffisent à établir la compétence du premier juge pour statuer sur la question de la responsabilité de la recourante précitée fondée sur un acte illicite.</w:t>
      </w:r>
    </w:p>
    <w:p>
      <w:r>
        <w:rPr>
          <w:b/>
        </w:rPr>
        <w:t>E. 5</w:t>
      </w:r>
    </w:p>
    <w:p>
      <w:r>
        <w:t>S'agissant de l'établissement liechtensteinois, les parties sont contractuellement liées de sorte qu'on ne se trouve pas dans un cas d'application de l'art. 129 LDIP. La proposition souscrite par écrit renvoie aux conditions générales d'assurances prévoyant l'application du droit liechtensteinois et un for exclusif à Vaduz. Il apparaît douteux qu'un protocole non officiel (pièce 10 bis) puisse anticiper l'entrée en vigueur officielle de l'accord sur l'assurance directe avec le Liechtenstein (RS 0.961.514), fixée le 9 juillet 1998 (art. 15 al. 2), texte approuvé par l'Assemblée fédérale pour ce terme, et qui ne peut être anticipé par le gouvernement fédéral sans modifier le texte même de l'accord, soit passer</w:t>
      </w:r>
    </w:p>
    <w:p>
      <w:r>
        <w:t>- 7 - par l'Assemblée fédérale elle-même. Dans cette mesure, l'art. 101c al. 1 LCA ne paraît pas décisif dans sa teneur antérieure à 2005 (cf. art. 101a LCA), puisque a contrario, le contrat a été souscrit en avril 1998. Les règles générales de la LDIP sont donc décisives pour fixer le droit applicable; en particulier, la possibilité d'une élection de droit (art. 120 al. 2 LDIP) est fixée par les règles de cette loi. Au demeurant, les art. 101a ss LCA ne déterminent pas le for, mais uniquement le droit applicable.</w:t>
      </w:r>
    </w:p>
    <w:p>
      <w:r>
        <w:rPr>
          <w:b/>
        </w:rPr>
        <w:t>E. 6</w:t>
      </w:r>
    </w:p>
    <w:p>
      <w:r>
        <w:t>Selon l'art. 5 LDIP, en matière patrimoniale, les parties peuvent convenir d'une élection de for (al. 1), mais le tribunal élu ne peut décliner sa compétence si une partie est domiciliée dans le canton où il siège ou si, en vertu de la LDIP, le droit suisse est applicable au litige (al. 2). En vertu de l'art. 120 LDIP, les contrats portant sur une prestation de consommation courante destinée à un usage personnel ou familial du consommateur et qui n'est pas en rapport avec l'activité professionnelle ou commerciale du consommateur sont régis par le droit de l'Etat de la résidence habituelle du consommateur notamment si le fournisseur a reçu la commande dans cet Etat ou si la conclusion du contrat a été précédée dans cet Etat d'une offre ou d'une publicité et que le consommateur y a accompli les actes nécessaires à la conclusion du contrat (al. 1 let. a et b); l'élection de droit est exclue (al. 2). Dans de tels contrats conclus avec des consommateurs, l'action intentée par un consommateur peut être portée, au choix de ce dernier, devant le tribunal suisse de son domicile ou du domicile du fournisseur (art. 114 al. 1 let. a et b LDIP). Le consommateur ne peut pas renoncer d'avance au for de son domicile (art. 114 al. 2 LDIP). Il convient de déterminer si l'art. 114 LDIP est applicable en l'espèce. La doctrine préconise une interprétation harmonisatrice des différentes normes de protection en matière de consommation, telles que contenues à l'art. 22 al. 2 LFors, 120 LDIP et 13 CL (cf. B. Gross, in Th. Müller / M. Wirth, Gerichtsstandsgesetz, Kommentar, Zurich 2001, n. 190</w:t>
      </w:r>
    </w:p>
    <w:p>
      <w:r>
        <w:t>- 8 - ss ad art. 22, pp. 550 ss; F. Walther, Gerichtsstandsgesetz, Kommentar, Berne 2005, éd. Kellerhals et alii, n. 46 ss, pp. 289/290). L'inclusion des litiges entre preneurs d'assurances et assureur dans ce cas de figure fait l'objet de prises de positions nuancées dans la doctrine. Certains auteurs la mettent en doute pour les assurances-vie, en se référant aux garanties relevant de la surveillance de droit public (Keller / Kren Kostkiewicz, Commentaire zurichois, 2004, n. 24 ad art. 120 LDIP). Cette surveillance n'existait pas encore à la conclusion du contrat. D'autres auteurs mentionnent sans nuancer les contrats d'assurance comme des contrats de consommation visés par les art. 114 et 120 LDIP (Dutoit, Droit international privé suisse, 4ème éd., 2005, n. 3 ad art. 120 LDIP; Walther, op. cit., n. 37 ad art. 22 LFors). L'assurance-vie à des buts privés rentre pour d'autres enfin dans les contrats "typiquement" visés (Brunner, Commentaire bâlois, 2007, n. 24 ad art. 120 LDIP). Pour le rattachement d'un contrat bancaire à un contrat de consommation, Pichonnaz relève que l'analyse doit notamment se faire en fonction de la valeur, avec une limite qui pourrait être par exemple être fixée à 80'000 fr., soit le montant maximum des crédits à la consommation (Actualités du droit des contrats, Le contrat à la croisée des chemins, Les contrats dans le droit de la consommation, CEDIDAC 77, p. 3). Le Tribunal fédéral a écarté l'application de l'art. 120 LDIP pour une assurance portant sur les risques d'emploi d'un ULM (TF 5C.222/2005 du 12 janvier 2006), mais comme le relève la doctrine (Brunner, op. cit., n. 24 ad art. 120 LDIP), il s'agissait là d'un risque inhabituel sortant du cadre habituel des besoins privés. La jurisprudence fédérale s'en tient d'une manière générale à la combinaison d'un critère de finalité pour l'acquéreur du bien ou du service, et un critère de volume (ATF 132 III 268, JT 2006 I 564, pour l'art. 22 al. 2 LFors). Dans sa dernière jurisprudence (ATF 133 III 295, JT 2008 I 160, pour l'art. 13 CL), alors qu'il avait encore dans l'arrêt précédent exclu les contrats impliquant des "investissements", le Tribunal fédéral s'est rallié à l'opinion selon laquelle un contrat de crédit impliquant des services bancaires pouvait entrer dans le cadre de l'art. 13 CL. L'on relèvera que, dans un souci d'interprétation uniforme déjà évoqué des</w:t>
      </w:r>
    </w:p>
    <w:p>
      <w:r>
        <w:t>- 9 - normes protectrices pour les contrats de consommation, la CL (art. 8 al. 1 ch. 2 et 12) eût condamné le déclinatoire soulevé. Le critère du volume de la transaction parle ici en faveur d'un cas d'épargne pour les besoins d'un ménage, soit celui constitué par les intimés. On a en effet affaire à une assurance-vie, qui vise pour l'essentiel un but d'épargne (cf. all. 40 ss de la demande). Les montants investis par chacun des intimés à l'époque étaient de quelque 22'500 et 30'000 francs. Au vu des montants en jeu et du but poursuivi, l'assurance-vie destinée à faire fructifier une modeste épargne relève donc des besoins privés du ménage et n'emporte pas une dimension inhabituelle ou exorbitante qui exclurait l'application des art. 114 et 120 LDIP. Dès lors, la soumission au droit liechtensteinois et au for exclusif de Vaduz résultant des conditions générales d'assurances n'est pas conforme au système légal (art. 114 al. 2 LDIP). Même pour une prétention de nature contractuelle, et non strictement délictuelle, le refus du premier juge de prononcer le déclinatoire est ainsi fondé.</w:t>
      </w:r>
    </w:p>
    <w:p>
      <w:r>
        <w:rPr>
          <w:b/>
        </w:rPr>
        <w:t>E. 7</w:t>
      </w:r>
    </w:p>
    <w:p>
      <w:r>
        <w:t>En définitive, le recours doit être rejeté et le jugement confirmé. Les frais de deuxième instance des recourantes, solidairement entre elles, sont arrêtés à 1'008 fr. (art. 232 TFJC). Les recourantes, solidairement entre elles, doivent verser aux intimés, solidairement entre eux, la somme de 1'200 fr. à titre de dépens de deuxième instance.</w:t>
      </w:r>
    </w:p>
    <w:p>
      <w:r>
        <w:t>- 10 - Par ces motifs, la Chambre des recours du Tribunal cantonal, statuant en audience publique, prononce : I. Le recours est rejeté. II. Le jugement est confirmé. III. Les frais de deuxième instance des recourantes, solidairement entre elles, sont arrêtés à 1'008 fr. (mille huit francs) IV. Les recourantes A.S.________ SA et A.________ SA, solidairement entre elles, doivent verser aux intimés les époux P.________, solidairement entre eux, la somme de 1'200 fr. (mille deux cents francs) à titre de dépens de deuxième instance. V. L'arrêt motivé est exécutoire. Le président : Le greffier : Du 10 mars 2010 Le dispositif de l'arrêt qui précède est communiqué par écrit aux intéressés. Le greffier :</w:t>
      </w:r>
    </w:p>
    <w:p>
      <w:r>
        <w:t>- 11 - Du L'arrêt qui précède, dont la rédaction a été approuvée à huis clos, est notifié en expédition complète, par l'envoi de photocopies à : - Me Corinne Monnard Séchaud (pour A.________ SA et A.S.________ SA), - Me Cédric Aguet (pour P1.________ et P2.________). La Chambre des recours considère que la valeur litigieuse est de 70'837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