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PT08.012904 vom 7. Januar 2016</w:t>
      </w:r>
    </w:p>
    <w:p>
      <w:r>
        <w:t>VD Tribunal cantonal, 2016-01-07, FR</w:t>
      </w:r>
    </w:p>
    <w:p>
      <w:r>
        <w:rPr>
          <w:b/>
        </w:rPr>
        <w:t xml:space="preserve">Quelle: </w:t>
      </w:r>
      <w:r>
        <w:t>https://mcp.opencaselaw.ch/entscheid/vd_gerichte_PT08.012904</w:t>
      </w:r>
    </w:p>
    <w:p>
      <w:r>
        <w:t>FR: VD_GERICHTE PT08.012904 du 7 janvier 2016</w:t>
      </w:r>
    </w:p>
    <w:p>
      <w:r>
        <w:t>IT: VD_GERICHTE PT08.012904 del 7 gennaio 2016</w:t>
      </w:r>
    </w:p>
    <w:p>
      <w:pPr>
        <w:pStyle w:val="Heading2"/>
      </w:pPr>
      <w:r>
        <w:t>Erwägungen</w:t>
      </w:r>
    </w:p>
    <w:p>
      <w:r>
        <w:rPr>
          <w:b/>
        </w:rPr>
        <w:t>E. 14</w:t>
      </w:r>
    </w:p>
    <w:p>
      <w:r>
        <w:t>Le 1er décembre 2008, P.________ a ouvert action contre U.________, en concluant en substance, sous suite de frais et dépens, à l’inscription définitive de l’hypothèque légale à hauteur de 52'508 fr. 80 avec intérêts à 5% l’an dès le 8 février 2008, et au paiement immédiat de la somme de 86'050 fr. 30 avec intérêts à 5% l’an dès le 8 février 2008. Le 21 janvier 2009, la procédure a été suspendue en raison de la procédure de faillite en cours de P.________. Le 22 mai 2009, la faillite de P.________ a été clôturée faute d’actifs.</w:t>
      </w:r>
    </w:p>
    <w:p>
      <w:r>
        <w:t>- 13 - Le 4 juin 2009, la présidente du tribunal a ordonné la reprise de la cause.</w:t>
      </w:r>
    </w:p>
    <w:p>
      <w:r>
        <w:rPr>
          <w:b/>
        </w:rPr>
        <w:t>E. 15</w:t>
      </w:r>
    </w:p>
    <w:p>
      <w:r>
        <w:t>Par transaction judiciaire du 11 juin 2009, l’hypothèque légale a été radiée moyennant consignation, par U.________, d’un montant de 78'763 fr. 20.</w:t>
      </w:r>
    </w:p>
    <w:p>
      <w:r>
        <w:rPr>
          <w:b/>
        </w:rPr>
        <w:t>E. 16</w:t>
      </w:r>
    </w:p>
    <w:p>
      <w:r>
        <w:t>Dans sa réponse du 25 septembre 2009, U.________ a conclu, sous suite de dépens, au rejet de la demande et, reconventionnellement, à ce que P.________ lui doive immédiat paiement de la somme de 75'751 fr., plus intérêts à 5% l’an dès le dépôt de la réponse. Dans ses déterminations du 16 décembre 2009, P.________ a confirmé ses conclusions et conclu, avec suite de frais et dépens, au rejet des conclusions reconventionnelles prises par le défendeur. Lors de l’audience préliminaire tenue par la présidente du tribunal le 2 février 2010, le demandeur a modifié ses conclusions en ce sens qu’il a remplacé ses conclusions devenues caduques par une conclusion tendant à la libération du montant consigné en sa faveur. Le défendeur a conclu au rejet de la conclusion II nouvelle.</w:t>
      </w:r>
    </w:p>
    <w:p>
      <w:r>
        <w:rPr>
          <w:b/>
        </w:rPr>
        <w:t>E. 17</w:t>
      </w:r>
    </w:p>
    <w:p>
      <w:r>
        <w:t>Le 18 mars 2010, le tribunal a désigné l’architecte [...] en qualité d’expert pour établir un rapport selon l’ordonnance sur preuves rendue le 1er mars 2010. Ce dernier a déposé son rapport d’expertise le 17 février 2011. En relation avec les prétentions de P.________, le rapport relève que la facture du 3 novembre 2008 comprend les travaux de Y.________ Sàrl et pas seulement ceux accomplis par le demandeur, qu'il y avait effectivement des défauts sur l'ouvrage réalisé par l'entreprise du demandeur et qu'au 8 février 2008, la somme des travaux réalisés par l'entreprise du demandeur s'élevait à 6'631 fr. 10 selon les conditions contractuelles.</w:t>
      </w:r>
    </w:p>
    <w:p>
      <w:r>
        <w:t>- 14 - En ce qui concerne les conclusions reconventionnelles, l'expert a retenu que les frais supplémentaires de différents maîtres d'état et de la direction des travaux à cause de l'inexécution du demandeur s'élevaient à 8'555 fr. 20, que le chantier avait subi un retard de 20 jours calendaires, pour diverses raisons, que 70% de ce retard, soit 14 jours, pouvaient être imputés à l'entreprise du demandeur pour ne pas avoir mis à disposition les compétences promises à une exécution des travaux en bonne et due forme, sous réserve d'autres facteurs de responsabilité qui pourraient être révélés par l'enquête pénale et que la perte locative subie par le défendeur en raison du retard imputable au demandeur était de 7'795 francs. Le 9 janvier 2012, l'expert a déposé un rapport complémentaire. Il y a maintenu pour l'essentiel ses conclusions, mais a précisé que le montant des coûts supplémentaires causés par l'inexécution du demandeur avait été mal calculé et qu'il était en réalité de 9'092 fr. 10. Il a encore précisé que l'entreprise Y.________ Sàrl n'avait pas été active en qualité de sous-traitante de l'entreprise de P.________.</w:t>
      </w:r>
    </w:p>
    <w:p>
      <w:r>
        <w:rPr>
          <w:b/>
        </w:rPr>
        <w:t>E. 18</w:t>
      </w:r>
    </w:p>
    <w:p>
      <w:r>
        <w:t>Par prononcé rendu le 6 novembre 2012, la présidente du tribunal a rejeté la requête de seconde expertise déposée le 24 août 2012 par le demandeur.</w:t>
      </w:r>
    </w:p>
    <w:p>
      <w:r>
        <w:rPr>
          <w:b/>
        </w:rPr>
        <w:t>E. 19</w:t>
      </w:r>
    </w:p>
    <w:p>
      <w:r>
        <w:t>Le 16 décembre 2014, les parties, assistées de leurs conseils respectifs, ont comparu devant le tribunal civil d’arrondissement de Lausanne pour les débats et le jugement de la cause. L’expert [...] a été entendu en sa qualité d’expert et a entièrement confirmé la teneur et les conclusions de ses rapports. N.________, I.________ et D.________ ont été entendus en qualité de témoins. La cause a été suspendue à l’issue de l’audience.</w:t>
      </w:r>
    </w:p>
    <w:p>
      <w:r>
        <w:rPr>
          <w:b/>
        </w:rPr>
        <w:t>E. 20</w:t>
      </w:r>
    </w:p>
    <w:p>
      <w:r>
        <w:t>Par jugement du Tribunal de police du 12 janvier 2015, qui n’était pas encore définitif et exécutoire au moment du jugement qui fait l’objet de l’appel, W.________ et D.________ ont été libérés des chefs de</w:t>
      </w:r>
    </w:p>
    <w:p>
      <w:r>
        <w:t>- 15 - prévention de lésions corporelles graves par négligence et de violation des règles de l’art de construire par négligence et les conclusions civiles prises par P.________ ont été rejetées.</w:t>
      </w:r>
    </w:p>
    <w:p>
      <w:r>
        <w:rPr>
          <w:b/>
        </w:rPr>
        <w:t>E. 21</w:t>
      </w:r>
    </w:p>
    <w:p>
      <w:r>
        <w:t>La cause a été reprise le 16 février 2015, date à laquelle le témoin W.________ a été entendu. En d roit : 1. L’appel est recevable contre les décisions finales de première instance (art. 308 al. 1 let. b CPC) dans les causes dont la valeur litigieuse est supérieure à 10’000 fr. (art. 308 al. 2 CPC). Ecrit et motivé, il doit être introduit dans les 30 jours à compter de la notification de la décision motivée ou de la notification postérieure de la motivation (art. 311 al. 1 CPC). Formé en temps utile par une partie qui y a intérêt (art. 59 al. 2 let. a CPC), contre une décision finale de première instance rendue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w:t>
      </w:r>
    </w:p>
    <w:p>
      <w:r>
        <w:t>- 16 - 3. La première critique porte sur l'admission, par les premiers juges, de la résiliation du contrat. L'appelant soutient à cet égard que, dans le cas d'espèce, le contrat n'aurait pas été conclu en raison de ses aptitudes personnelles, mais uniquement parce qu'il aurait présenté une offre particulièrement avantageuse. 3.1 Selon une partie de la doctrine, l'appréciation du Tribunal fédéral selon laquelle les qualités personnelles de l'entrepreneur jouent toujours un rôle décisif lors de l'adjudication de travaux du bâtiment (ATF 103 II 52) ne doit pas être généralisée, puisque le recours fréquent à des sous-traitants s'y oppose (notamment Chaix, Commentaire Romand du CO, n. 4 ad art. 379 CO). En l’espèce, il n'est pas nécessaire de prendre position sur cette question pour les motifs qui suivent. 3.2 Il est constant que le contrat est régi par la norme SIA 118. Selon l'art. 186 al. 1 de celle-ci, lorsque l'entrepreneur n'est pas en mesure de poursuivre les travaux entrepris et que leur continuation ne peut pas être assurée ni par un successeur ni par des auxiliaires, le maître peut se départir du contrat ; lorsque le contrat a été conclu en raison des aptitudes personnelles de l'entrepreneur, il s'éteint d'office. Ainsi, dans ce dernier cas, le contrat prend fin sans qu'une déclaration de volonté soit nécessaire ; par contre, si le contrat n'a pas été conclu en raison des aptitudes personnelles de l'entrepreneur, le contrat peut être résilié ex nunc, mais il faut une déclaration de volonté dans ce sens (Spiess/Huser, Norm SIA 118, Berne 2014, n. 10-12 ad art. 186). En l'occurrence, une déclaration de résiliation est effectivement intervenue par lettre du 6 février 2008, ce qui n'est pas contesté. Par conséquent, que le contrat ait été conclu en raison des aptitudes personnelles ou non, il a pris fin au plus tard par la résiliation, étant précisé que l'appelant ne soutient bien évidemment pas qu'il aurait pris fin de plein droit au jour de l'accident dont il a été victime. Même si l'on devait admettre que le contrat n'était pas de type personnel, l'appelant ne pourrait ainsi en tirer d'autres conséquences que celles qui ressortent du jugement. En tout état de</w:t>
      </w:r>
    </w:p>
    <w:p>
      <w:r>
        <w:t>- 17 - cause, l'argument est à lui seul impropre à contester la validité de la résiliation. 4. Dans un deuxième grief, l'appelant conteste qu'il eût été incapable de terminer ou de faire terminer l'ouvrage. Il explique qu'il disposait de sous-traitants, dûment annoncés à la direction des travaux, en la personne d'I.________ et de son entreprise. Il fait remarquer que si le jugement retient que le 7 février 2008, la direction des travaux a demandé aux travailleurs de l'appelant de quitter définitivement le chantier, c'était bien que des travailleurs de l'appelant étaient encore actifs et poursuivaient la réalisation de l'ouvrage. Etant donné que le contrat n'avait pas été conclu en raison des qualités personnelles de l'entrepreneur, la continuité des travaux pouvait, selon lui, être assurée par les sous-traitants. Il pouvait ainsi se faire remplacer et la condition libératoire de l'impossibilité de terminer l'ouvrage n’était pas réalisée, de sorte que le défendeur n'était pas fondé à résilier le contrat. 4.1 Aux termes de l'art. 186 al. 1 de la norme SIA 118, la résiliation est soumise à la condition que ni les successeurs, ni les auxiliaires, par exemple les sous-traitants, ne soient en mesure d'exécuter le contrat (Spiess/Huser, op. cit., n. 7 ad art. 186). 4.2 Même s'ils ont considéré que le contrat conclu était de nature personnelle, les premiers juges n'ont pas méconnu le sens de la condition qui vient d'être rappelée. Ils ont cependant estimé qu'il était établi qu'aucun successeur ou sous-traitant du demandeur ne pouvait assurer la continuation des travaux. Pour fonder cette appréciation, le tribunal s'est fondé sur les constatations de l'expert, dans son rapport, dans son rapport complémentaire et dans sa déposition en audience, ainsi que sur les déclarations des témoins I.________, N.________, D.________ et W.________. Tous ces éléments de fait ont été énoncés dans l'état de fait du jugement. Il en résulte que seule l’entreprise O.________ Sàrl dont I.________ est associé gérant est à considérer comme un sous-traitant et que tel n'est pas le cas pour l'entreprise Y.________ Sàrl, celle-ci ayant une</w:t>
      </w:r>
    </w:p>
    <w:p>
      <w:r>
        <w:t>- 18 - relation contractuelle directe avec la direction des travaux, que le témoin N.________ a confirmé cette relation contractuelle directe, que le témoin I.________ a expliqué qu'il est venu travailler pendant une semaine avec deux ouvriers sur le chantier avant de quitter celui-ci, ne sachant plus quoi faire à la suite de l'accident et craignant de ne pas être payé par le demandeur, que le témoin D.________ a confirmé qu'en raison du manque de communication entre l'entrepreneur et I.________, la situation avait empiré et que ce dernier avait quitté le chantier de peur de ne pas être payé, tout en déclarant que N.________ n'était pas un sous-traitant, que le témoin W.________ a confirmé que N.________ n'avait jamais été un sous- traitant du demandeur et que I.________ avait quitté le chantier en disant qu'il n'était pas payé. 4.3 Dans son appel, P.________ se limite à rediscuter les faits en sollicitant les témoignages. Il n'expose cependant aucun motif permettant de remettre en cause l'appréciation des faits à laquelle se sont livrés les premiers juges. Il se prévaut uniquement du fait qu'I.________ est encore venu travailler sur le chantier après l'accident, même s'il admet expressément que celui-ci ne savait alors « plus quoi faire suite à l'accident de P.________ ». Or on ne saurait valablement soutenir que la seule présence physique d'un sous-traitant et de ses employés suffise à garantir la poursuite de l'exécution du contrat, lorsque celui-ci ne sait précisément « plus quoi faire ». Au contraire, les constatations des premiers juges, qui ne sont du reste pas expressément mises en cause par l'appelant, permettent de considérer qu'aucun auxiliaire n'était en mesure d'exécuter le contrat, puisque le seul auxiliaire présent ignorait ce qu'on attendait de lui et a du reste quitté rapidement le chantier de peur de ne pas être payé. Dans ces circonstances, le jugement querellé ne prête pas flanc à la critique et le grief de l'appelant s'avère infondé. 5. Même s'il mentionne cet élément au chapitre des conséquences de la résiliation injustifiée, l'appelant fait valoir que c'est lui qui a appelé Y.________ Sàrl à la rescousse et qu'il n'a pas à subir les</w:t>
      </w:r>
    </w:p>
    <w:p>
      <w:r>
        <w:t>- 19 - conséquences de la décision de la direction des travaux de passer directement un contrat avec cette société. Cet argument ne permet cependant pas de retenir qu'Y.________ Sàrl devrait être considérée comme un sous-traitant de l'appelant en vue de la continuation du contrat. En effet, l'appelant ne fait pas valoir qu'il aurait lui-même au préalable conclu un contrat de sous- traitance avec Y.________ Sàrl. Il ressort en revanche de l'état de fait que s'il avait effectivement été question que N.________ travaille pour l'appelant, vu la tournure des évènements (santé et faillite de celui-ci), il avait lui-même demandé à passer un contrat avec la direction des travaux. C'est donc dire qu'aux yeux même de N.________, l'appelant n'était pas en mesure d'assurer, respectivement de faire assurer le suivi de l'exécution du contrat. 6. Abordant ensuite les conséquences de la résiliation du contrat, l'appelant semble soutenir que, la résiliation n'étant pas justifiée, le montant de sa facture serait dû. La résiliation étant justifiée, il n'y a pas lieu de discuter ce grief. 7. P.________ remet ensuite en cause la présence de défauts et soutient que les travaux auraient été accomplis « dans les règles de l'art ». En l’occurrence, l'état de fait du jugement retient des problèmes de malfaçons, qui ont été constatés par l'expert et qui ont donné lieu à des coûts de correction et de réfection estimés par l'expert. L'appelant ne démontre cependant pas en quoi les constatations de l'expert seraient erronées. Il invoque uniquement qu'il estime injuste que la direction des travaux se soit empressée de faire signer un contrat à N.________; cet argument n'est toutefois pas de nature à remettre en cause les défauts retenus par le jugement.</w:t>
      </w:r>
    </w:p>
    <w:p>
      <w:r>
        <w:t>- 20 - 8. L'appelant conteste finalement le montant de 6'631 fr. 10 alloué par les premiers juges, en lieu et place de l'entier de la facture de 86'050 fr. 30. 8.1 S'il peut les utiliser, le maître est tenu d'indemniser selon le contrat les prestations effectuées (art 186 al. 3 Norme SIA 118; art. 379 al. 2 CO). Le montant à payer se détermine d'après les prestations fournies et les prix convenus (Spiess/Huser, op. cit., n. 13 ad art. 186). 8.2 En l'espèce, les premiers juges ont suivi la démarche de l'expert, qui a procédé à une estimation sur la base de l'examen de chaque poste et a retenu qu'environ 30% des travaux globaux avaient été commencés par l’appelant, puis corrigés et achevés par Y.________ Sàrl. Ce décompte détaillé fait l'objet d'une annexe à l'expertise. L'expert a indiqué pourquoi les documents dont se prévaut l'appelant à l'appui de sa facture ne pouvaient servir de base de calcul. Le calcul de l'expert apparaît ainsi documenté, et l'appelant ne peut être suivi lorsqu'il affirme que l'expert aurait procédé par une simple soustraction d'éléments sans pertinence : il suffit du reste de procéder à la soustraction que l'appelant prête à l'expert pour constater que le résultat de ses conclusions ne peut être issu d'un tel calcul. L’appelant n’apporte aucun élément de nature à remettre en cause la méthode appliquée par l'expert. Ce grief est donc également infondé, car l'appelant n'établit pas, dans son écriture d'appel, en quoi il aurait droit à davantage que ce qui lui a été alloué par le jugement. 8.3 En dernier lieu, l'appelant soutient encore qu'il serait injuste de réduire le montant de sa facture au motif que l'intimé a choisi de collaborer avec une autre société, soit Y.________ Sàrl. Là également, l'argument n'est pas fondé. Y.________ Sàrl n'a jamais eu de relation contractuelle avec P.________. Lorsque celui-ci a été empêché, l'intimé, respectivement la direction des travaux, n’avaient pas d'autres choix que de trouver une autre entreprise capable d'achever les</w:t>
      </w:r>
    </w:p>
    <w:p>
      <w:r>
        <w:t>- 21 - travaux. Peu importe alors qu'elle ait porté son choix sur la société d’un ami de l’appelant qui n'était au préalable pas liée contractuellement avec celui-ci. On peut relever que la situation aurait été différente si Y.________ Sàrl avait effectivement, avant l'accident de l’appelant, eu une relation contractuelle de sous-traitant avec celui-ci, avant d'être « débauchée » par l'intimé. Mais tel n'est pas le cas. On ne peut dès lors pas soutenir, comme le fait l'appelant, que le montant correspondant aux travaux accomplis par Y.________ Sàrl devait lui être payé à lui, et non à Y.________ Sàrl. Ce dernier moyen doit aussi être écarté, et, avec lui, l'appel dans son entier. 9. En conclusion, l'appel doit être rejeté selon le mode procédural de l'art. 312 al. 1 CPC. A l’issue d’un examen rétrospectif de l’appel, il y a lieu de considérer que celui-ci était d'emblée dénué de chances de succès, de sorte que la requête d'assistance judiciaire ne peut qu'être rejetée. Les frais judiciaires de deuxième instance, fixés à 1'885 fr. (art. 62 al. 1 et 2 TFJC [tarif des frais judiciaires civils du 28 septembre 2010 ; RSV 270.11.5]), seront mis à la charge de l’appelant (art. 106 al. 1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