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PT07.020251 vom 2. Oktober 2009</w:t>
      </w:r>
    </w:p>
    <w:p>
      <w:r>
        <w:t>VD Tribunal cantonal, 2009-10-02, FR</w:t>
      </w:r>
    </w:p>
    <w:p>
      <w:r>
        <w:rPr>
          <w:b/>
        </w:rPr>
        <w:t xml:space="preserve">Quelle: </w:t>
      </w:r>
      <w:r>
        <w:t>https://mcp.opencaselaw.ch/entscheid/vd_gerichte_PT07.020251</w:t>
      </w:r>
    </w:p>
    <w:p>
      <w:r>
        <w:t>FR: VD_GERICHTE PT07.020251 du 2 octobre 2009</w:t>
      </w:r>
    </w:p>
    <w:p>
      <w:r>
        <w:t>IT: VD_GERICHTE PT07.020251 del 2 ottobre 2009</w:t>
      </w:r>
    </w:p>
    <w:p>
      <w:pPr>
        <w:pStyle w:val="Heading2"/>
      </w:pPr>
      <w:r>
        <w:t>Erwägungen</w:t>
      </w:r>
    </w:p>
    <w:p>
      <w:r>
        <w:rPr>
          <w:b/>
        </w:rPr>
        <w:t>E. 1</w:t>
      </w:r>
    </w:p>
    <w:p>
      <w:r>
        <w:t>La demanderesse B.________ ainsi que ses sœurs M.________ et A.D.________ et leur mère B.D.________, héritières de feu C.D.________, sont en litige avec la défenderesse F.________, depuis le milieu des années 1990. Ce litige est issu d’un acte notarié fait à Morges le 30 mars 1994 devant le notaire Anne Gaussen. Il s’agissait d’une promesse d’échange immobilier, qui prévoyait notamment ce qui suit : « (…) D. (…) C.D.________ promet de céder à la F.________ qui promet d’acquérir, par l’intermédiaire de ses représentants, la parcelle 223 de Vullierens susdésignée. Cet immeuble continuera à former un bien-fonds indépendant. En contrepartie, la F.________ promet de céder à C.D.________, qui promet d’acquérir, une surface de onze mille neuf cent quatorze mètres carrés (11'914 m2) environ à détacher de la</w:t>
      </w:r>
    </w:p>
    <w:p>
      <w:r>
        <w:t>- 3 - parcelle 217 de Vullierens susdésignée, représentant la partie teintée en jaune sur la plan signé des parties et annexé à la minute du présent acte. Cet immeuble formera désormais un bien-fonds indépendant (…). 3. Le présent échange immobilier est fait sans versement de soulte de part ni d’autre. (…). 8. Sous réserve de la réalisation des conditions énumérées sous chiffre six ci-dessus, la présente promesse d’échange immobilier est ferme et irrévocable en ce sens que si l’une ou l’autre des parties ne peut pas ou ne veut pas donner suite dans le délai convenu, aux obligations résultant pour elle de la présente convention, l’autre partie pourra contraindre la partie défaillante à l’exécution de ce contrat (…) ». Par demande adressée à la Cour civile du Tribunal cantonal le 21 décembre 1995, la F.________ a pris les conclusions suivantes notamment à l’encontre de B.________, B.D.________, A.D.________ et M.________ : "I. La F.________ est propriétaire de la parcelle 223, folio 10, au lieu dit [...], d’une surface de 5'957 m2, F.________, en contrepartie de quoi M.________, A.D.________ et B.________ sont propriétaires d’une surface de 11'914 m2 à détacher de la parcelle 217, folio 10, au lieu dit [...], de 29'361 m2, sur le territoire de la F.________, propriété de cette dernière. II. Le Conservateur du Registre foncier du district de Morges est invité à procéder aux inscriptions découlant de l’échange entre la F.________ et M.________, A.D.________ et B.________, la F.________ étant inscrite comme seule propriétaire de la parcelle 223, M.________, A.D.________ et B.________ étant inscrites comme seules propriétaires d’une surface de 11'914 m2 à détacher de la parcelle 217 selon plan de morcellement qui sera produit ultérieurement. Subsidiairement :</w:t>
      </w:r>
    </w:p>
    <w:p>
      <w:r>
        <w:t>- 4 - III. Ordre est donné aux hoirs de feu C.D.________, qui sont M.________, A.D.________, B.________, et B.D.________, sous la menace des peines d’arrêt et d’amende prévues par l’art. 292 du Code pénal suisse, de signer les actes nécessaires au transfert de la parcelle 223, folio 10, au lieu dit [...], d’une surface de 5'957 m2, à la F.________, celle-ci cédant en échange 11'914 m2 de sa parcelle 217, folio 10, au lieu dit [...], de 29'361 m2, sans soulte. Plus subsidiairement et pour le cas où le transfert immobilier ne pourrait intervenir : IV.M.________, A.D.________, B.________ et B.D.________ sont les débitrices, solidairement entre elles, subsidiairement selon ce que justice dira, de la F.________ d’un montant de 45'000.-- (quarante-cinq mille francs) au moins, la F.________ se réservant d’augmenter cette conclusion en cours d’instance". Par jugement du 21 mars 2001, la Cour civile du Tribunal cantonal a donné ordre à B.________, ses sœurs, ainsi que leur mère de signer les actes nécessaires à l’exécution de la promesse d’échange notariée du 30 mars 1994. La même Cour a condamné les défenderesses, solidairement entre elles, à payer à la F.________ la somme de 24'236 fr.</w:t>
      </w:r>
    </w:p>
    <w:p>
      <w:r>
        <w:rPr>
          <w:b/>
        </w:rPr>
        <w:t>E. 05</w:t>
      </w:r>
    </w:p>
    <w:p>
      <w:r>
        <w:t>à titre de dépens. B.________, ses sœurs et leur mère ont recouru au Tribunal fédéral contre ce jugement. Par arrêt du 21 février 2002, le Tribunal fédéral a rejeté ce recours et les a condamnées, solidairement entre elles, au paiement de 7'500 fr. à la défenderesse à titre de dépens. La F.________ a introduit une poursuite n° 572504-01, contre B.________, sa mère et ses sœurs, pour le montant de 33'162 fr. 25, intérêt et frais compris. Ayant reçu un avis de saisie le 11 juin 2003, la</w:t>
      </w:r>
    </w:p>
    <w:p>
      <w:r>
        <w:t>- 5 - demanderesse s’est acquittée en mains de l’office de la somme précitée le 23 juin 2003. Le 3 avril 2006, B.________ et ses sœurs ont déposé une demande de révision au Tribunal fédéral contre l’arrêt qu’il avait rendu le 21 février 2002. Elles ont pris les conclusions suivantes, avec dépens : "I. La demande de révision est admise. II. L’arrêt rendu par la Ière Cour civile du Tribunal fédéral, dans la cause B.D.________, M.________ et consorts c/ F.________, le 21 février 2002 (4C.308/2001), est annulé. III. Le recours en réforme interjeté le 12 septembre 2001 par les demanderesses, ainsi que B.D.________ et L.________ à l’encontre du jugement de la Cour civile du Tribunal cantonal du Canton de Vaud rendu le 22 février 2001 est admis. IV. Le dossier de la cause est renvoyé à la Cour civile du Tribunal cantonal du Canton de Vaud pour complément d’instruction et nouvelle décision, dans le sens des considérants de l’arrêt fédéral à intervenir." Par arrêt du 7 novembre 2006, le Tribunal fédéral a admis la demande de révision du 3 avril 2006, annulé son précédent arrêt ainsi que le jugement du 21 mars 2001 de la Cour civile du Tribunal cantonal et renvoyé la cause à la cour cantonale pour nouvelle instruction et nouvelle décision dans le sens des considérants. Par courrier des 25 et 26 janvier 2007, le conseil de B.________ notamment a écrit à la défenderesse ce qui suit : « (…) Nous donnons suite à l’arrêt qui a été rendu, le 7 novembre 2006, par le Tribunal fédéral, ayant admis une demande de révision et annulé le jugement rendu, le 21 mars</w:t>
      </w:r>
    </w:p>
    <w:p>
      <w:r>
        <w:t>- 6 - 2001, par la Cour civile et l’arrêt rendu, le 21 février 2002, par le Tribunal fédéral, (…). La Cour civile avait alloué à votre cliente la somme de CHF 24'236.05 à titre de dépens; de son côté, le Tribunal fédéral avait alloué à votre cliente la somme de CHF 7'500.- à titre de dépens. C’est donc un montant total de CHF 31'736.05 qui avait été versé à ce titre à votre cliente, par l’intermédiaire de l’Office des poursuites et faillites de Morges, le 23 juin 2003 (abstraction faite des frais et intérêts). Compte tenu de l’admission de la demande de révision et de l’annulation du premier jugement rendu par la Cour civile et du premier arrêt rendu par le Tribunal fédéral, nous mettons la F.________ en demeure de restituer à nos mandants la somme précitée, par CHF 31'736.05 (…) d’ici au 15 février 2007 (…). Il pourra être fait état de la présente (…) ». Le 19 mars 2007, le conseil de B.________ a adressé un second courrier au conseil de la F.________, impartissant à cette dernière un ultime délai échéant au 31 mars 2007 pour verser la somme de 31'736 fr. 05. Le 8 juin 2007, B.________ a fait notifier à la F.________ un commandement de payer n° 3139298 par l’Office des poursuites de Morges-Aubonne pour un montant de 31'736 fr. 05, plus intérêt à 5% du 16 février 2007, ainsi que les frais du commandement de payer d’un montant de 100 fr. plus encaissement de 158 fr. 70. Sous la rubrique « Titre et date de la créance, cause de l’obligation », qui figure sur le commandement de payer en question, il est mentionné : « Remboursement dépens versés à l’OP de Morges le 23.06.2003 (dépens selon jugement de la Cour civile du 21 mars 2001 et arrêt du Tribunal</w:t>
      </w:r>
    </w:p>
    <w:p>
      <w:r>
        <w:t>- 7 - fédéral du 21 février 2002, annulés après révision par le Tribunal fédéral le</w:t>
      </w:r>
    </w:p>
    <w:p>
      <w:r>
        <w:rPr>
          <w:b/>
        </w:rPr>
        <w:t>E. 7</w:t>
      </w:r>
    </w:p>
    <w:p>
      <w:r>
        <w:t>En conclusion, le recours doit être rejeté, en application de l'art. 465 al. 1 CPC, et le jugement confirmé. Les frais de deuxième instance de la recourante sont arrêtés à 617 francs.</w:t>
      </w:r>
    </w:p>
    <w:p>
      <w:r>
        <w:t>- 12 - Par ces motifs, la Chambre des recours du Tribunal cantonal, statuant à huis clos, en application de l'art. 465 al. 1 CPC, prononce : I. Le recours est rejeté. II. Le jugement est confirmé. III. Les frais de deuxième instance de la recourante F.________ sont arrêtés à 617 fr. (six cent dix-sept francs). IV. L'arrêt motivé est exécutoire. Le président : La greffière : Du 2 octobre 2009 Le dispositif de l'arrêt qui précède est communiqué par écrit aux intéressés. La greffière :</w:t>
      </w:r>
    </w:p>
    <w:p>
      <w:r>
        <w:t>- 13 - Du L'arrêt qui précède, dont la rédaction a été approuvée à huis clos, est notifié en expédition complète, par l'envoi de photocopies, à : - Me Jean-Michel Henny (pour F.________), - Me Alain Thevenaz (pour B.________). La Chambre des recours considère que la valeur litigieuse est de 31'736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