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PT07.006675 vom 7. April 2010</w:t>
      </w:r>
    </w:p>
    <w:p>
      <w:r>
        <w:t>VD Tribunal cantonal, 2010-04-07, FR</w:t>
      </w:r>
    </w:p>
    <w:p>
      <w:r>
        <w:rPr>
          <w:b/>
        </w:rPr>
        <w:t xml:space="preserve">Quelle: </w:t>
      </w:r>
      <w:r>
        <w:t>https://mcp.opencaselaw.ch/entscheid/vd_gerichte_PT07.006675</w:t>
      </w:r>
    </w:p>
    <w:p>
      <w:r>
        <w:t>FR: VD_GERICHTE PT07.006675 du 7 avril 2010</w:t>
      </w:r>
    </w:p>
    <w:p>
      <w:r>
        <w:t>IT: VD_GERICHTE PT07.006675 del 7 aprile 2010</w:t>
      </w:r>
    </w:p>
    <w:p>
      <w:pPr>
        <w:pStyle w:val="Heading2"/>
      </w:pPr>
      <w:r>
        <w:t>Erwägungen</w:t>
      </w:r>
    </w:p>
    <w:p>
      <w:r>
        <w:rPr>
          <w:b/>
        </w:rPr>
        <w:t>E. 1</w:t>
      </w:r>
    </w:p>
    <w:p>
      <w:r>
        <w:t>Le jugement admettant ou écartant une requête de réforme ne peut en principe pas faire l'objet d'un recours immédiat à la Chambre des recours. Toutefois, lorsque la réforme sollicitée tend à l'introduction d'une conclusion nouvelle ou augmentée, la décision rendue à ce sujet est un jugement principal, contre lequel le recours en réforme est ouvert (JT 2003 III 114 c. 1 p. 115; Poudret/Haldy/Tappy, Procédure civile vaudoise, 3ème éd., Lausanne 2002, n. 2 ad art. 154 CPC [Code de procédure civile du 14 décembre 1966; RSV 270.11], p. 282, n. 19 ad art. 444 CPC, p. 662). En l’espèce, la requête de réforme admise par le premier juge tend à introduire une conclusion augmentée. Le recours est ainsi ouvert.</w:t>
      </w:r>
    </w:p>
    <w:p>
      <w:r>
        <w:rPr>
          <w:b/>
        </w:rPr>
        <w:t>E. 2</w:t>
      </w:r>
    </w:p>
    <w:p>
      <w:r>
        <w:t>Saisie d'un recours en réforme contre un jugement principal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3</w:t>
      </w:r>
    </w:p>
    <w:p>
      <w:r>
        <w:t>L'autorisation de se réformer n'est pas subordonnée à l'absence de faute, mais bien à l'existence d'un intérêt réel (art. 153 al. 2 CPC; Poudret/Haldy/ Tappy, op. cit., n. 2 ad art. 153 CPC, p. 277). Cet intérêt réel doit être apprécié au regard de l'ensemble des circonstances, en particulier de la pertinence du fait allégué, de sa vraisemblance, de la force de la preuve offerte et de la durée probable de la procédure consécutive à la réforme (JT 1988 III 70 c. 4; Poudret/Haldy/Tappy, op. cit.,</w:t>
      </w:r>
    </w:p>
    <w:p>
      <w:r>
        <w:t>- 7 - n. 4 ad art. 153 CPC, p. 278). En particulier, si les faits invoqués à l’appui de la requête de réforme sont dénués de pertinence ou déjà invoqués sous une autre forme en procédure, celle-ci devra être refusée (JT 1988 III 70, c. 4; JT 1979 III 34 et note). De même, si la réforme vise à introduire des conclusions nouvelles, qui sont d'emblée vouées à l'échec, elle devra être refusée (JT 1979 III 34 c. 2c, critiqué par Poudret/Haldy/Tappy, op. cit., n. 7 ad art. 153 CPC, pp. 280-281). La jurisprudence admet l'introduction de conclusions augmentées ou nouvelles par la voie de la réforme (Poudret/Haldy/Tappy, op. cit., n. 5 ad art. 153 CPC).</w:t>
      </w:r>
    </w:p>
    <w:p>
      <w:r>
        <w:rPr>
          <w:b/>
        </w:rPr>
        <w:t>E. 4</w:t>
      </w:r>
    </w:p>
    <w:p>
      <w:r>
        <w:t>La recourante procède à de longs développements pour soutenir que la réforme peut uniquement être autorisée si l’augmentation des conclusions repose sur une même cause juridique et qu’en l’occurrence, tel n’est pas le cas. Elle relève en substance que l’incapacité à l’origine de la demande initiale résulte de l’accident du 17 décembre 2003 alors que les allégués que l’intimée souhaite introduire par sa requête de réforme sont étrangers à cet accident et qu'ils portent sur l’état de santé de l’intimée antérieur à celui-ci. Elle en déduit que les conclusions initiales et celles augmentées n’ont pas la même cause juridique et que l’intimée cherche par ce biais non pas à compléter le litige existant mais à introduire un nouveau litige. La recourante se méprend lorsqu’elle considère que les conclusions augmentées reposeraient sur une cause juridique différente. En effet, l’intimée a ouvert action pour obtenir l’indemnisation de son incapacité de gain en vertu des contrats d’assurance passés avec la recourante. Par sa requête de réforme, elle veut introduire des allégués nouveaux et des conclusions augmentées qui ont aussi trait à l’indemnisation pour incapacité de gain à laquelle elle prétend sur la base des contrats passés avec la recourante. La cause juridique est donc bien la même : les contrats conclus par les parties.</w:t>
      </w:r>
    </w:p>
    <w:p>
      <w:r>
        <w:t>- 8 - Que les prétentions émises aient ou non pour contexte l’accident du 17 décembre 2003 n’est pas déterminant pour trancher la requête de réforme. L’enjeu de la procédure est de déterminer les prétentions contractuelles de l’intimée en raison de son incapacité. Dans ce cadre, elle a un intérêt à introduire en procédure des allégués relatifs aux nouvelles décisions de l’OAI du 13 août 2008. Dans sa demande, l’intimée avait d’ailleurs allégué (n° 25) que son incapacité perdurait encore à ce jour, pour une durée indéterminée. Ne serait-ce qu’au regard de cet allégué, les décisions de l’OAI du 13 août 2008 n’apparaissent pas dépourvues de pertinence. Au surplus, ces questions doivent à tout le moins être examinées, voire prises en compte dans le jugement au fond (ATF 131 III 12, JT 2005 I 488). Dans un arrêt du 19 octobre 2006 (TF 5C.147/2006), le Tribunal fédéral a retenu que, lorsque les conditions générales d'assurance le prévoient, les prestations de l'AI doivent être imputées sur celles de l'assurance perte de gain maladie/accident collective. Selon lui, ces dispositions consacrent le principe de subsidiarité si bien que ces questions ne sortent pas du cadre du procès. Il faut donc reconnaître à l’intimée un intérêt à se réformer et, la contestation de la recourante quant au principe même de la réforme étant infondée, confirmer à cet égard la solution du premier juge.</w:t>
      </w:r>
    </w:p>
    <w:p>
      <w:r>
        <w:rPr>
          <w:b/>
        </w:rPr>
        <w:t>E. 5</w:t>
      </w:r>
    </w:p>
    <w:p>
      <w:r>
        <w:t>La recourante soutient aussi, à titre subsidiaire, que la réforme intervient alors que l’échange d’écritures est terminé, ce qui la prive de pouvoir se défendre et d’alléguer à son tour des éléments en relation avec les faits nouveaux introduits par la réforme. Le grief est bien fondé. En effet, l’admission d’une requête de réforme implique que la partie adverse doit avoir la faculté de se déterminer sur les allégués nouveaux introduits par la réforme et, si besoin est, d'introduire de nouvelles allégations ou preuves connexes à celles autorisées (Poudret/Haldy/Tappy, op. cit., n. 1 ad art. 155 CPC, p. 283; JT 1981 III 133). Or, le jugement attaqué est muet à cet égard. Afin de garantir les droits de la recourante, la cause doit par conséquent être renvoyée au président du tribunal civil d’arrondissement pour qu’il lui fixe</w:t>
      </w:r>
    </w:p>
    <w:p>
      <w:r>
        <w:t>- 9 - un délai pour se déterminer sur les allégués nouveaux de l’intimée et lui permette d'introduire à son tour, au besoin, des allégations et des preuves connexes. Le recours est admis dans cette mesure.</w:t>
      </w:r>
    </w:p>
    <w:p>
      <w:r>
        <w:rPr>
          <w:b/>
        </w:rPr>
        <w:t>E. 6</w:t>
      </w:r>
    </w:p>
    <w:p>
      <w:r>
        <w:t>Les frais de deuxième instance de la recourante sont arrêtés à 620 fr. (art. 232 TFJC [Tarif du 4 décembre 1984 des frais judiciaires en matière civile; RSV 270.11.5]). La recourante obtient partiellement gain de cause mais succombe sur la question du principe de la réforme. Dans ces conditions, elle a droit au remboursement de la moitié de ses frais de deuxième instance, les dépens de deuxième instance étant pour le surplus compensés (art. 91 et 92 CPC). Par ces motifs, la Chambre des recours du Tribunal cantonal, statuant en audience publique, prononce : I. Le recours est partiellement admis. II. La cause est renvoyée au Président du Tribunal civil de l'arrondissement de l'Est vaudois pour qu'il fixe à Z.________, Compagnie d'assurances sur la vie SA, un délai pour se déterminer sur les allégués nouveaux de J.________ et, au besoin, introduire à son tour des allégations et des preuves connexes. Le jugement est confirmé pour le surplus. III. Les frais de deuxième instance de la recourante sont arrêtés à 620 fr. (six cent vingt francs).</w:t>
      </w:r>
    </w:p>
    <w:p>
      <w:r>
        <w:t>- 10 - IV. L'intimée J.________ doit verser à la recourante Z.________ Compagnie d'assurances sur la vie SA, la somme de 310 fr. (trois cent dix francs), les dépens de deuxième instance étant compensés pour le surplus. V. L'arrêt motivé est exécutoire. Le vice- président : La greffière : Du 7 avril 2010 Le dispositif de l'arrêt qui précède est communiqué par écrit aux intéressés. La greffière : Du L'arrêt qui précède, dont la rédaction a été approuvée à huis clos, est notifié en expédition complète, par l'envoi de photocopies à : - Me Pierre Del Boca (pour Z.________, Compagnie d'Assurances sur la Vie SA), - Me Eduardo Redondo (pour J.________). La Chambre des recours considère que la valeur litigieuse est supérieure à 30'000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