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PS25.008878 vom 2. September 2025</w:t>
      </w:r>
    </w:p>
    <w:p>
      <w:r>
        <w:t>VD Tribunal cantonal, 2025-09-02, FR</w:t>
      </w:r>
    </w:p>
    <w:p>
      <w:r>
        <w:rPr>
          <w:b/>
        </w:rPr>
        <w:t xml:space="preserve">Quelle: </w:t>
      </w:r>
      <w:r>
        <w:t>https://mcp.opencaselaw.ch/entscheid/vd_gerichte_PS25.008878</w:t>
      </w:r>
    </w:p>
    <w:p>
      <w:r>
        <w:t>FR: VD_GERICHTE PS25.008878 du 2 septembre 2025</w:t>
      </w:r>
    </w:p>
    <w:p>
      <w:r>
        <w:t>IT: VD_GERICHTE PS25.008878 del 2 settembre 2025</w:t>
      </w:r>
    </w:p>
    <w:p>
      <w:pPr>
        <w:pStyle w:val="Heading2"/>
      </w:pPr>
      <w:r>
        <w:t>Erwägungen</w:t>
      </w:r>
    </w:p>
    <w:p>
      <w:r>
        <w:rPr>
          <w:b/>
        </w:rPr>
        <w:t>E. 3</w:t>
      </w:r>
    </w:p>
    <w:p>
      <w:r>
        <w:t>a) Le 24 février 2025, l’intimée a déposé contre l’appelant une requête tendant à l’obtention de mesures d’éloignements de celui-ci. Le 24 mars 2025, l’appelant a conclu, avec suite de frais, au rejet de la requête de mesures provisionnelles de l’intimée.</w:t>
      </w:r>
    </w:p>
    <w:p>
      <w:r>
        <w:t>- 4 - b) Le 25 mars 2025, une audience de mesures provisionnelles s’est tenue en présence des parties et de leurs conseils respectifs. Lors de cette audience, l’intimée a été entendue et a déclaré ce qui suit : « […] Je précise qu’B.B.________ est toujours hospitalisée suite à sa tentative de suicide en janvier 2025. A sa sortie, soit en principe dimanche prochain, B.B.________ sera placée en foyer car la DGEJ estime que celle-ci ne doit pas voir (sic) de contact avec W.________ et sa grand-mère maternelle. […]. » Elle a également pris les conclusions suivantes : « I. Interdiction est faite à W.________ de s'approcher d'B.B.________, de [...] et de A.B.________, à moins de 500 mètres sous la menace de la peine prévue par l'art. 292 CP. II. Interdiction est faite à W.________ de s'approcher du domicile de la famille A.B.________ sis [...], à moins de 300 mètres, sous la menace de la peine prévue par l'art. 292 CP. III. Interdiction est faite à W.________ de prendre contact par tous les moyens, y compris par l'intermédiaire de tiers, avec B.B.________, [...] et A.B.________, sous la menace de la peine prévue par l'art. 292 CP. »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w:t>
      </w:r>
    </w:p>
    <w:p>
      <w:r>
        <w:t>- 5 -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 1.2 Formé en temps utile par une partie ayant un intérêt digne de protection (art. 59 al. 2 let. a CPC) contre une ordonnance de mesures provisionnelles portant sur des conclusions non pécuniaires, l’appel est recevable. Il en va de même de la réponse, déposée en temps utile. 2. 2.1 L’art. 317 al. 1bis CPC, entré en vigueur le 1er janvier 2025 et directement applicable par renvoi de l’art. 407f CPC, prévoit que lorsqu’elle doit examiner les faits d’office, l’instance d’appel admet des faits et moyens de preuve nouveaux jusqu’aux délibérations. Conformément à l’art. 243 al. 2 let. b CPC, la procédure simplifiée s’applique quelle que soit la valeur litigieuse aux litiges portant sur de la violence, des menaces ou du harcèlement au sens de l’art. 28b CC. L’art. 247 al. 2 let. a CPC précise que c’est la maxime inquisitoire qui s’applique à ce type de litige. 2.2 En l’espèce, les pièces nouvelles déposées en appel sont recevables et il en a été tenu compte dans la mesure de leur pertinence.</w:t>
      </w:r>
    </w:p>
    <w:p>
      <w:r>
        <w:rPr>
          <w:b/>
        </w:rPr>
        <w:t>E. 3.1</w:t>
      </w:r>
    </w:p>
    <w:p>
      <w:r>
        <w:t>L’appelant fait grief à la première juge de ne pas avoir tenu compte du fait que B.B.________ est actuellement placée par la DGEJ et ne réside donc pas chez sa mère. Il souligne que B.B.________ n’y reviendra</w:t>
      </w:r>
    </w:p>
    <w:p>
      <w:r>
        <w:t>- 6 - d’ailleurs pas tant que sa grand-mère maternelle continuera d’y exercer son droit d’habitation. L’appelant estime que l’intimée est revenue à plusieurs reprises en Suisse ces dix dernières années, de sorte que faute d’élément nouveau, la situation ne souffrait d’aucune urgence justifiant le prononcé de mesures provisionnelles. Enfin, il allègue devoir effectuer des travaux pour un montant de 7'500 fr. sur la propriété voisine de celle de l’intimée et une mesure d’éloignement lui occasionnerait un manque à gagner de l’ordre de 20 %. L’intimée considère que la gravité des faits, qui font l’objet de la procédure pénale contre l’appelant, suffit pour instaurer, de près ou de loin, un sentiment de crainte extrême. Elle souligne que le seul dommage invoqué par l’appelant du fait de l’ordonnance concerne son activité professionnelle, afin qu’il puisse exercer celle-ci à plus de cent mètres de son domicile. L’intimée estime ainsi que son droit, et celui de sa fille, à vivre en sécurité l’emportent sur l’intérêt économique de l’appelant. Enfin, elle rappelle que, bien que B.B.________ vive actuellement en foyer en raison des graves séquelles et de la souffrance qu’elle a vécue, l’objectif est qu’elle rentre au domicile.</w:t>
      </w:r>
    </w:p>
    <w:p>
      <w:r>
        <w:rPr>
          <w:b/>
        </w:rPr>
        <w:t>E. 3.2.1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(TF 2C_540/2024 du 16 janvier 2025 consid. 3.1 et les références citées). Le dommage difficilement réparable de l'art. 261 al. 1 let. b CPC est principalement de nature factuelle ; il concerne tout préjudice, patrimonial ou immatériel et peut même résulter du seul écoulement du temps pendant le procès. Le dommage est constitué, pour</w:t>
      </w:r>
    </w:p>
    <w:p>
      <w:r>
        <w:t>- 7 - celui qui requiert les mesures provisionnelles, par le fait que, sans celles- ci, il serait lésé dans sa position juridique de fond et, pour celui qui recourt contre le prononcé de telles mesures, par les conséquences matérielles qu'elles engendrent (TF 5A_206/2024 du 7 juin 2024 consid. 3.1.1 et les références citées). Si les conditions susmentionnées sont remplies, le juge ordonne les mesures nécessaires.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(TF 5A_461/2024 du 4 octobre 2024 consid. 5.3 et les références citées ; Bohnet, in : Commentaire romand, Code de procédure civile, 2ème éd., Bâle 2019, nn. 14 et 17 ad art. 261 CPC). Conformément à l’art. 262 CPC, le tribunal peut ordonner toute mesure provisionnelle propre à prévenir ou à faire cesser le préjudice, notamment une 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3.2.2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peut requérir le juge d’interdire une atteinte illicite, si elle est imminente, de la faire cesser, si elle dure encore et d’en constater le caractère illicite, si le trouble qu’elle a créé subsiste (art. 28a al. 1 CC).</w:t>
      </w:r>
    </w:p>
    <w:p>
      <w:r>
        <w:t>- 8 -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in : Commentaire romand, Code civil I, Art. 1-456 CC, 2ème éd., Bâle 2024, nn. 67 ss ad art. 28 CC et les références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 Jeandin, op. cit., n. 3 ad art. 28b CC et les références citées). L’art. 28b CC protège la personnalité contre des atteintes spécifiques, à savoir celles qui prennent la forme de violence, menaces ou harcèlement. Selon la jurisprudence du Tribunal fédéral (TF 5A_377/2009 du 3 septembre 2009 consid. 5.3.1), la violence s’entend comme une atteinte directe à l’intégrité physique, psychique, sexuelle ou sociale d’une personne. Cette atteinte doit présenter un</w:t>
      </w:r>
    </w:p>
    <w:p>
      <w:r>
        <w:t>- 9 -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(Jeandin, op. cit., nn. 11 ss ad art. 28b CC et les références citées ; Meier, Droit des personnes, 2ème éd. Bâle 2021, n. 954).</w:t>
      </w:r>
    </w:p>
    <w:p>
      <w:r>
        <w:rPr>
          <w:b/>
        </w:rPr>
        <w:t>E. 3.3</w:t>
      </w:r>
    </w:p>
    <w:p>
      <w:r>
        <w:t>Tout d’abord, l’absence d’urgence alléguée par l’appelant ne saurait être suivie. En effet, la réintégration de son logement par l’intimée constitue un fait nouveau par rapport à la situation qui prévalait jusqu’alors, celle-ci ne se rendant qu’occasionnellement à son ancien appartement. Dès lors qu’elle réside de manière continue dans l’appartement dont elle est propriétaire, il y a urgence à ce que des mesures soient prises en protection de sa personnalité et de celle de B.B.________. Cela étant, par jugement du 24 janvier 2023 rendu par les autorités italiennes, l’appelant a été condamné, pour des actes d'ordre sexuel commis sur sa fille B.B.________, née en 2010, à une peine de réclusion de 10 ans. Certes, ce jugement n'est pas définitif et exécutoire. Reste que l'existence de cette seule procédure – et alors même si aucun jugement définitif n'a été rendu et que le prévenu bénéficie par conséquent toujours du principe de la présomption d'innocence – suffit pour considérer, au stade de mesures provisionnelles, comme étant vraisemblables les allégations de violences sexuelles. Par ailleurs, en raison de cette procédure pénale, il existe de toute manière un devoir de</w:t>
      </w:r>
    </w:p>
    <w:p>
      <w:r>
        <w:t>- 10 - protection vis-à-vis de B.B.________. Il en va de même de l’intimée qui dispose du statut de proche de la victime et des droits qui y sont liés (art. 116 al. 2 et 117 al. 3 CPP [Code de procédure pénale suisse du 5 octobre 2007 ; RS 312.0], étant la mère de B.B.________. L'appelant allègue devoir réaliser des travaux au [...] au mois de juillet 2025 pour un montant de 7'500 fr., ce qui représenterait l'équivalent de 20 % du chiffre d'affaires annuel de son entreprise. Il souligne également que B.B.________ vit dans un foyer. Reste qu'il ne démontre d'aucune manière que les travaux en question devraient être réalisés durant cet été, de sorte qu'aucun préjudice irréparable n'est établi. A cet égard, on relèvera qu’à ce jour, l’appelant semble avoir fait réaliser les travaux par son fils, de sorte que son grief est devenu sans objet. Enfin, si B.B.________ est actuellement en foyer, c'est au motif que la DGEJ estime qu'elle ne doit pas avoir de contact notamment avec l’appelant. Il est vraisemblable que B.B.________ puisse venir en visite dans l’appartement de l’intimée puis y vivre, un placement étant une mesure de nature provisoire. En tout état de cause, B.B.________ dispose du droit à la protection prévu par l’art. 11 [Constitution fédérale de la Confédération Suisse du 19 avril 1999 ; RS 101]. Cette disposition consacre le droit des enfants et des jeunes à une protection particulière de leur intégrité et à l'encouragement de leur développement. Le Tribunal fédéral a commenté la portée de cette disposition à l'ATF 144 II 233 (traduit au JdT 2019 I 64). La protection particulière de l'intégrité des enfants et des jeunes porte sur leur intégrité corporelle et psychique. Cette protection constitutionnelle doit assurer aux enfants et aux jeunes une égalité de traitement et une égalité des chances et oblige l'Etat à les protéger de toute forme de violence ou de traitement dégradant. A cet égard, ceux-ci ont « droit à une protection particulière » en tant que groupe social ; leur développement sur les plans émotionnel, psychique, corporel et social doit être protégé de manière appropriée, quel que soit leur âge. L'art. 11 al. 1 Cst. impose</w:t>
      </w:r>
    </w:p>
    <w:p>
      <w:r>
        <w:t>- 11 - également aux autorités d'application du droit de prendre en compte les besoins de protection particuliers des enfants et des jeunes (ATF 144 II 233 consid. 8.2.1 et les références citées). Le but de l'art. 11 Cst. étant d'inscrire dans la Constitution fédérale les droits consacrés par la CDE (Convention relative aux droits de l’enfant du 20 novembre 1989 ; RS 0.107), il doit être interprété à la lumière de cette convention (cf. également ATF 146 IV 267 consid. 3.3.1). Toutefois, ce que recouvre exactement le droit à une protection particulière de l'intégrité des enfants et des jeunes ne peut pas être déterminé de manière abstraite et intemporelle, mais dépend des circonstances d'espèce (ATF 144 II 233 consid. 8.2.2). En l’occurrence, la protection de la santé physique et psychique de B.B.________, ainsi que celle de sa mère, doivent primer sur l’intérêt de l’appelant à effectuer un seul chantier qui s’inscrirait dans le cadre de l’exercice de son activité lucrative situé dans le voisinage direct de l’appartement de l’intimée. Les griefs de l’appelant sont ainsi infondés.</w:t>
      </w:r>
    </w:p>
    <w:p>
      <w:r>
        <w:rPr>
          <w:b/>
        </w:rPr>
        <w:t>E. 4.1</w:t>
      </w:r>
    </w:p>
    <w:p>
      <w:r>
        <w:t>En définitive, l’appel doit être rejeté et l’ordonnance confirmée.</w:t>
      </w:r>
    </w:p>
    <w:p>
      <w:r>
        <w:rPr>
          <w:b/>
        </w:rPr>
        <w:t>E. 4.2</w:t>
      </w:r>
    </w:p>
    <w:p>
      <w:r>
        <w:t>En l’occurrence, Me Cinzia Petito a produit une liste d’opérations faisant état de 6 heures et 15 minutes à la cause consacrées dans la procédure d’appel. Ce décompte peut être admis. Il s’ensuit qu’au tarif horaire de 180 fr., l’indemnité de Me Cinzia Petito doit être fixée à 1’125 fr. (6.15 h x 180 fr.), montant auquel il convient d’ajouter des débours par 22 fr. 50 (2 % x 1’125 fr., art. 3bis al. 1 RAJ), ainsi que la TVA à 8.1 % sur l’ensemble, soit 92 fr. 95, pour un total de 1’240 fr. 45.</w:t>
      </w:r>
    </w:p>
    <w:p>
      <w:r>
        <w:t>- 12 -</w:t>
      </w:r>
    </w:p>
    <w:p>
      <w:r>
        <w:rPr>
          <w:b/>
        </w:rPr>
        <w:t>E. 4.3</w:t>
      </w:r>
    </w:p>
    <w:p>
      <w:r>
        <w:t>Les frais judiciaires de deuxième instance, arrêtés à 800 fr. (600 fr. d'émolument forfaitaire de décision pour l'arrêt final [art. 65 al. 2 TFJC (tarif des frais judiciaires civils du 28 septembre 2020 ; BLV 270.11.5)] + 200 fr. pour la décision sur l’effet suspensif [art. 30 TFJC par analogie]), seront mis à charge de l’appelant qui succombe (art. 106 al.1 CPC).</w:t>
      </w:r>
    </w:p>
    <w:p>
      <w:r>
        <w:rPr>
          <w:b/>
        </w:rPr>
        <w:t>E. 4.4</w:t>
      </w:r>
    </w:p>
    <w:p>
      <w:r>
        <w:t>L’intimée ayant été invitée à procéder, il y a lieu de lui allouer des dépens de deuxième instance, arrêtés à 1’000 fr., débours inclus (art. 3 al. 2, 9 et 19 al. 2 TDC). L’appelant devra donc verser ce montant au conseil de l’intimée (art. 96 al. 2 CPC ; art. 47 al. 1 LPAv [Loi du 9 juin 2015 sur la profession d’avocat ; BLV 177.11]).</w:t>
      </w:r>
    </w:p>
    <w:p>
      <w:r>
        <w:rPr>
          <w:b/>
        </w:rPr>
        <w:t>E. 4.5</w:t>
      </w:r>
    </w:p>
    <w:p>
      <w:r>
        <w:t>La bénéficiaire de l’assistance judiciaire remboursera les frais judiciaires de deuxième instance et l’indemnité allouée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w:t>
      </w:r>
    </w:p>
    <w:p>
      <w:r>
        <w:t>- 13 - III. Les frais judiciaires de deuxième instance, arrêtés à 800 fr. (huit cents francs), sont mis à la charge de l’appelant W.________. IV. L’indemnité de Me Cinzia Petito, conseil d’office de l’intimée A.B.________, est arrêtée à 1’240 fr. 45 (mille deux cent quarante francs et quarante-cinq centimes), TVA et débours comprises. V. La bénéficiaire de l’assistance judiciaire est tenue au remboursement de l’indemnité de son conseil d’office, provisoirement laissée à la charge de l’Etat, dès qu’elle sera en mesure de le faire. VI. L’appelant W.________ versera à Me Cinzia Petito, conseil d’office de l’intimée A.B.________, un montant de 1'000 fr. (mille francs), à titre de dépens de deuxième instance. VII. Si Me Cinzia Petito obtient le paiement des dépens fixés sous chiffre VI ci-dessus, de la part de l’appelant W.________, ce montant sera déduit du montant alloué à titre d’indemnité d’office sous chiffre IV ci-dessus. VIII.L’arrêt est exécutoire. La juge unique : La greffière :</w:t>
      </w:r>
    </w:p>
    <w:p>
      <w:r>
        <w:t>- 14 - Du Le présent arrêt, dont la rédaction a été approuvée à huis clos, est notifié en expédition complète à : - Me Stéphanie Cacciatore (pour W.________), - Me Cinzia Petito (pour A.B.________), et communiqué, par l'envoi de photocopies, à : - Mme la Présidente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