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PS21.052367 vom 27. Juni 2022</w:t>
      </w:r>
    </w:p>
    <w:p>
      <w:r>
        <w:t>VD Tribunal cantonal, 2022-06-27, FR</w:t>
      </w:r>
    </w:p>
    <w:p>
      <w:r>
        <w:rPr>
          <w:b/>
        </w:rPr>
        <w:t xml:space="preserve">Quelle: </w:t>
      </w:r>
      <w:r>
        <w:t>https://mcp.opencaselaw.ch/entscheid/vd_gerichte_PS21.052367</w:t>
      </w:r>
    </w:p>
    <w:p>
      <w:r>
        <w:t>FR: VD_GERICHTE PS21.052367 du 27 juin 2022</w:t>
      </w:r>
    </w:p>
    <w:p>
      <w:r>
        <w:t>IT: VD_GERICHTE PS21.052367 del 27 giugno 2022</w:t>
      </w:r>
    </w:p>
    <w:p>
      <w:pPr>
        <w:pStyle w:val="Heading2"/>
      </w:pPr>
      <w:r>
        <w:t>Erwägungen</w:t>
      </w:r>
    </w:p>
    <w:p>
      <w:r>
        <w:rPr>
          <w:b/>
        </w:rPr>
        <w:t>E. 3.1</w:t>
      </w:r>
    </w:p>
    <w:p>
      <w:r>
        <w:t>; TF 5A_79/2020 du 28 août 2020 consid. 2.3.2 ; question laissée ouverte par TF 4A_614/2015 du 25 avril 2016 consid. 2.2). Toutefois, le juge ne peut rejeter la demande en fourniture de sûretés au motif que la partie demanderesse aurait été exemptée d’un tel devoir par la décision relative à l’assistance judiciaire, alors que celle-ci ne fait aucunement état d’une audition de la partie défenderesse et n’indique en rien que cette question aurait été abordée. Il doit alors préciser la portée de sa décision précédente, respectivement la compléter après audition de la partie défenderesse sur la question de l’exonération des sûretés (TF 4A_269/2020 du 18 août 2020 consid. 3.3).</w:t>
      </w:r>
    </w:p>
    <w:p>
      <w:r>
        <w:rPr>
          <w:b/>
        </w:rPr>
        <w:t>E. 3.2.1</w:t>
      </w:r>
    </w:p>
    <w:p>
      <w:r>
        <w:t>En procédure civile, le droit d’être entendu trouve son expression à l’art. 53 al.1 CPC, qui reprend la formulation générale de l’art. 29 al. 2 Cst. (Constitution fédérale de la Confédération suisse du 18 avril 1999 ; RS 101) (ATF 142 III 48 consid. 4.1.1.).</w:t>
      </w:r>
    </w:p>
    <w:p>
      <w:r>
        <w:t>- 6 -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doit dès lors être communiquée aux parties pour leur permettre de décider si elles veulent ou non faire usage de leur faculté de se déterminer (ATF 142 III 48 consid. 4.1.1 ; ATF 139 II 489 consid. 3.3 ; ATF 139 I 189 consid. 3.2 ; ATF 138 I 484 consid. 2.1 ; TF 5A_741/2016 du 6 décembre 2016 consid. 3.1.1 ; TF 5A_925/2015 du 4 mars 2016, consid. 2.3.1, non publié à l’ATF 142 III 195).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t>- 7 - Dans le cadre du recours des art. 319 ss CPC, une réparation du vice en deuxième instance est en principe exclue, compte tenu du pouvoir d'examen limité en fait de l'autorité de recours (art. 320 let. b CPC ; CPF 11 février 2019/19). Toutefois lorsque la question qui se pose en recours est exclusivement d'ordre juridique, une réparation du vice est possible, l'autorité de recours disposant d'un libre pouvoir d'examen en droit (art. 320 let. a CPC ; CPF 30 décembre 2019/298).</w:t>
      </w:r>
    </w:p>
    <w:p>
      <w:r>
        <w:rPr>
          <w:b/>
        </w:rPr>
        <w:t>E. 3.2.2</w:t>
      </w:r>
    </w:p>
    <w:p>
      <w:r>
        <w:t>L’octroi de l’assistance judiciaire entraîne en principe la dispense de fournir des sûretés sans qu’il soit nécessaire qu’une décision spéciale soit rendue à cet égard (TF 4A_314/2013 du 6 août 2013 consid.</w:t>
      </w:r>
    </w:p>
    <w:p>
      <w:r>
        <w:rPr>
          <w:b/>
        </w:rPr>
        <w:t>E. 3.3</w:t>
      </w:r>
    </w:p>
    <w:p>
      <w:r>
        <w:t>En l’espèce, l’intimée a été invitée à se déterminer sur la requête en fourniture de sûretés en garantie des dépens, ce qu’elle a fait par courrier du 26 avril 2022. Or, il n’apparaît pas qu’avant que la décision litigieuse ne soit rendue, le président ait transmis les déterminations de l’intimée à la recourante de manière à ce qu’elle puisse, le cas échéant, déposer des observations à leurs propos. Ce faisant, le magistrat a privé la recourante de la possibilité de se déterminer spontanément sur ce courrier et, partant, a violé son droit d’être entendue. Par ailleurs, on relèvera que par décision du 14 décembre 2021, le président a accordé l’assistance judiciaire à l’intimée, et l’a ainsi notamment exonérée d’avance de frais judiciaires. Le même jour, le président a transmis la demande de l’intimée à la recourante en lui</w:t>
      </w:r>
    </w:p>
    <w:p>
      <w:r>
        <w:t>- 8 - impartissant un délai au 13 janvier 2021 pour se déterminer. La recourante a ensuite successivement requis une prolongation de ce délai. Elle a cependant déposé une requête en fourniture de sûretés en garantie des dépens, sans que le président l’informe que l’intimée était au bénéfice de l’assistance judiciaire. L’intimée n’avait certes pas été dispensée de fournir des sûretés. Il n’empêche que le magistrat s’est fondé sur l’indigence constatée dans sa décision du 14 décembre 2021 pour parvenir à la conclusion que la dispense des sûretés et des avances de frais « se situ[aient] au même niveau, leur dispense découlant de l’indigence », de sorte qu’en raison de ce parallélisme, l’intimée, qui avait été exonérée des avances de frais judiciaires, ne pouvait être astreinte à la fourniture de sûretés. Le magistrat a ainsi étendu l’octroi de l’assistance judiciaire à l’exonération de fourniture de sûretés, en privant la recourante de la possibilité de faire valoir ses observations sur ce point. Il s’agit là d’une violation de son droit d’être entendue, qui justifie également d’annuler le prononcé du 23 mai 2022. Compte tenu du pouvoir de cognition limité dont dispose l’autorité de céans, les violations du droit d’être entendu ne peuvent pas être réparées. La Chambre des recours ne peut ainsi qu’annuler la décision attaquée sans plus ample examen et renvoyer la cause au président pour qu’il statue à nouveau en respectant le droit d’être entendue de la recourante.</w:t>
      </w:r>
    </w:p>
    <w:p>
      <w:r>
        <w:rPr>
          <w:b/>
        </w:rPr>
        <w:t>E. 4.1</w:t>
      </w:r>
    </w:p>
    <w:p>
      <w:r>
        <w:t>Le recours doit être admis et le prononcé annulé, la cause étant renvoyée à l’autorité précédente pour qu’elle procède dans le sens des considérants (cf. supra consid. 3.3). Ce renvoi étant dicté par une violation du droit d’être entendu, il ne se justifie pas d’inviter l’intimée à déposer une réponse, la cause</w:t>
      </w:r>
    </w:p>
    <w:p>
      <w:r>
        <w:t>- 9 - n’étant pas préjugée sur le fond (TF 5A_910/2016 du 1er septembre 2017 consid. 4 ; TF 5A_736/2008 du 30 mars 2009 consid. 6 ; TF 5A_163/2008 du 27 mai 2008 consid. 5 ; CREC 28 mai 2021/159).</w:t>
      </w:r>
    </w:p>
    <w:p>
      <w:r>
        <w:rPr>
          <w:b/>
        </w:rPr>
        <w:t>E. 4.2</w:t>
      </w:r>
    </w:p>
    <w:p>
      <w:r>
        <w:t>Les frais judiciaires de deuxième instance seront arrêtés à 200 fr. (art. 69 et 70 al. 1 TFJC [tarif des frais judiciaires civils du 28 septembre 2010 ; BLV 270.11.5]). Ils seront laissés à la charge de l'Etat (art. 107 al. 2 CPC), dès lors qu'ils ne sont pas imputables aux parties, le montant de 200 fr. avancé par la recourante lui étant restitué. Quand bien même la recourante obtient gain de cause, il n’y a pas lieu de lui allouer de dépens de deuxième instance. En effet, la justice de paix n’a pas qualité de partie, mais d’autorité de première instance, de sorte qu’elle ne saurait être condamnée à des dépens (CREC 17 mars 2022/76 ; Tappy, Commentaire romand, Code de procédure civile, Bâle 2019, 2e éd., n. 35 ad art. 107 CPC, p. 495). Par ces motifs, la Chambre des recours civile du Tribunal cantonal, prononce : I. Le recours est admis. II. Le prononcé est annulé et la cause est renvoyée au Président du Tribunal de l’arrondissement de la Broye et du Nord vaudois pour qu’il procède dans le sens des considérants. III. Les frais judiciaires de deuxième instance, arrêtés à 200 fr. (deux cents francs), sont laissés à la charge de l’Etat. IV. L’arrêt est exécutoire.</w:t>
      </w:r>
    </w:p>
    <w:p>
      <w:r>
        <w:t>- 10 - Le président : La greffière : Du L'arrêt qui précède, dont la rédaction a été approuvée à huis clos, est notifié à : - Me Jean-Lou Maury (pour K.________), - Me Romain Deillon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