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PS21.045102 vom 20. Dezember 2021</w:t>
      </w:r>
    </w:p>
    <w:p>
      <w:r>
        <w:t>VD Tribunal cantonal, 2021-12-20, FR</w:t>
      </w:r>
    </w:p>
    <w:p>
      <w:r>
        <w:rPr>
          <w:b/>
        </w:rPr>
        <w:t xml:space="preserve">Quelle: </w:t>
      </w:r>
      <w:r>
        <w:t>https://mcp.opencaselaw.ch/entscheid/vd_gerichte_PS21.045102</w:t>
      </w:r>
    </w:p>
    <w:p>
      <w:r>
        <w:t>FR: VD_GERICHTE PS21.045102 du 20 décembre 2021</w:t>
      </w:r>
    </w:p>
    <w:p>
      <w:r>
        <w:t>IT: VD_GERICHTE PS21.045102 del 20 dicembre 2021</w:t>
      </w:r>
    </w:p>
    <w:p>
      <w:pPr>
        <w:pStyle w:val="Heading2"/>
      </w:pPr>
      <w:r>
        <w:t>Erwägungen</w:t>
      </w:r>
    </w:p>
    <w:p>
      <w:r>
        <w:rPr>
          <w:b/>
        </w:rPr>
        <w:t>E. 3.1</w:t>
      </w:r>
    </w:p>
    <w:p>
      <w:r>
        <w:t>Les appelants ont produit des pièces, dont il convient d’examiner la recevabilité.</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w:t>
      </w:r>
    </w:p>
    <w:p>
      <w:r>
        <w:t>- 11 -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 TF 4A_540/2014 du 18 mars 2015 consid. 3.1, publié in RSPC 2015 p. 339 ; TF 5A_445/2014 du 28 août 2014 consid. 2.1 ; TF 5A_695/2012 du 20 mars 2013 consid. 4.2.1 ; TF 4A_334/2012 du 16 octobre 2012 consid. 3.1, publié in SJ 2013 I 311).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 6 novembre 2017 consid. 3.3 ; TF 5A_445/2014 du 28 août 2014 consid. 2.1 ; TF 4A_569/2013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(TF 5A_882/2017 du 1er février 2018 consid. 5.3, publié in RSPC 2018 p. 218 ; TF 5A_756/2017 du 6 novembre 2017 consid. 3.4 ; Colombini, Condensé de la jurisprudence fédérale et vaudoise relative à l’appel et au recours en matière civile, in JdT 2013 III 131, spéc. p. 150, n. 40).</w:t>
      </w:r>
    </w:p>
    <w:p>
      <w:r>
        <w:t>- 12 -</w:t>
      </w:r>
    </w:p>
    <w:p>
      <w:r>
        <w:rPr>
          <w:b/>
        </w:rPr>
        <w:t>E. 3.3</w:t>
      </w:r>
    </w:p>
    <w:p>
      <w:r>
        <w:t>En l’occurrence, les pièces 1 et 2 sont des pièces dites de forme, de sorte qu’elles sont recevables. Il en va de même des pièces 3, 4, 5, 7 et 8, qui figurent déjà toutes au dossier de première instance. La pièce 6 est un courriel adressé le 22 novembre 2021 par le Centre Social Régional [...] au conseil des appelants. Bien que postérieur à la clôture de l’instruction devant l’autorité précédente, intervenue à l’issue de l’audience du 12 novembre 2021, ce titre s’avère irrecevable. En effet, en faisant preuve de la diligence requise, les appelants auraient eu loisir d’interpeller les services sociaux sur la question de savoir si des logements d’urgence étaient disponibles en première instance déjà et auraient ainsi pu produire un tel document avant la clôture de l’instruction, ce d’autant que l’appelant A.S.________ a déclaré au procureur lors de son audition du 26 octobre 2021 qu’il était allé s’inscrire la veille au service social à [...]. A cela s’ajoute que les appelants ne consacrent aucun développement dans leur mémoire sur la recevabilité de cette pièce nouvelle, alors qu’il leur incombait de le faire. Enfin, la pièce 9 est constituée d’extraits de différents comptes bancaires des appelants A.S.________ et B.S.________ au 12 novembre 2021 au plus tard. Ces documents auraient pu être produits en première instance en faisant preuve de la diligence requise, de sorte qu’ils s’avèrent irrecevables. Au demeurant, les appelants n’expliquent pas non plus pour quelle raison ce titre serait recevable selon eux.</w:t>
      </w:r>
    </w:p>
    <w:p>
      <w:r>
        <w:rPr>
          <w:b/>
        </w:rPr>
        <w:t>E. 4.1</w:t>
      </w:r>
    </w:p>
    <w:p>
      <w:r>
        <w:t>Dans un premier moyen, les appelants font grief au premier juge d’avoir retenu que les parties vivaient dans un logement commun au sens de l’art. 28b al. 2 CC. Ils soutiennent d’abord qu’ils seraient au bénéfice d’un contrat de bail à loyer, voire d’un contrat de conciergerie, de sorte qu’il serait erroné de considérer que les parties étaient colocataires.</w:t>
      </w:r>
    </w:p>
    <w:p>
      <w:r>
        <w:t>- 13 - Ensuite, ils prétendent en substance que le logement en question serait divisé en deux parties distinctes reliées par une porte intérieure et que l’intimé vivrait de manière indépendante dans un studio autonome avec cuisine et salle de bains, tandis que le reste de la maison serait occupé par eux. L’intimé aurait par ailleurs la possibilité de sortir par une autre porte donnant directement sur l’extérieur. Depuis le dépôt de la présente procédure, l’intimé se serait du reste rendu à son studio à plusieurs reprises pour y chercher des effets personnels, sans avoir de contacts avec eux. De plus, les parties n’auraient jamais partagé les commodités et la cuisine. Il ne serait ainsi pas clairement établi qu’il s’agirait d’un logement commun. L’autorité précédente a retenu que l’intimé partageait le logement en cause avec les appelants, le premier vivant dans un studio au niveau du jardin et les seconds occupant le reste de la maison. Le studio servant de chambre à l’intimé ne lui offrait qu’un confort sommaire car il n’était même pas équipé d’une cuisine, de sorte que l’intéressé était amené à utiliser les autres locaux pour ses besoins personnels élémentaires, ce qu’il faisait jusqu’à ce que les appelants lui interdisent l’accès à la maison. De plus, la porte du studio ne fermait pas à clé et les appelants s’y rendaient à leur guise et sans y avoir été invités. Le logement devait ainsi être considéré comme un logement commun.</w:t>
      </w:r>
    </w:p>
    <w:p>
      <w:r>
        <w:rPr>
          <w:b/>
        </w:rPr>
        <w:t>E. 4.2</w:t>
      </w:r>
    </w:p>
    <w:p>
      <w:r>
        <w:t>Lorsque la victime de violence, menaces ou harcèlement et l’auteur de l’atteinte partagent un même logement, l’art. 28b al. 2 CC donne à celle-ci la possibilité de requérir du juge l’expulsion de l’auteur pour une période déterminée. Le prononcé de cette mesure requiert la réalisation de deux conditions, à savoir une atteinte à la personnalité sous la forme de violence, menaces ou harcèlement et une communauté de logement entre la victime et l’auteur de l’atteinte. La communauté de logement ne présuppose aucun lien spécifique (notamment matrimonial) entre les parties. La notion est également plus large que celle de « ménage commun » contenue dans l’avant-projet, qui visait une communauté de vie basée sur la durée et un soutien mutuel. La communauté de logement englobe au contraire toute communauté ayant</w:t>
      </w:r>
    </w:p>
    <w:p>
      <w:r>
        <w:t>- 14 - pour but le partage d’un logement commun. Tel est le cas des couples mariés, des concubins, des partenaires enregistrés, mais aussi, par exemple, d’un parent vivant avec son enfant ou encore d’étudiants qui louent ensemble un logement commun dont ils occupent chacun une chambre. Cette disposition ne s’applique toutefois pas aux structures d’accueil, telles que les foyers, hospices ou maisons de retraite (Jeandin/Peyrot, Commentaire romand, Code civil I, Bâle 2010, nn. 18-19 ad art. 28b CC et les références citées).</w:t>
      </w:r>
    </w:p>
    <w:p>
      <w:r>
        <w:rPr>
          <w:b/>
        </w:rPr>
        <w:t>E. 4.3</w:t>
      </w:r>
    </w:p>
    <w:p>
      <w:r>
        <w:t>En l’espèce, il résulte des pièces du dossier que l’intimé est le trésorier de l’Association V.________ en liquidation, association d’entraide chrétienne, qui le loge gratuitement, depuis de nombreuses années, dans une maison dont elle est propriétaire, sise [...]. En 2017, l’intéressé est venu en aide aux appelants, en les logeant dans cette maison, avec l’accord des organes compétents de l’association propriétaire. Il a néanmoins continué d’y occuper une chambre – dite studio – au sous-sol, équipée d’une douche, mais non d’une cuisine, et directement accessible depuis des escaliers qui desservent les autres pièces de la maison, occupées par les appelants. A cet égard, on relèvera que les appelants ne se réfèrent à aucun élément du dossier lorsqu’ils soutiennent que le studio serait équipé d’une cuisine permettant à l’intimé d’y vivre de manière autonome et n’expliquent pas davantage pourquoi le premier juge n’aurait pas dû retenir que ce studio n’était pas équipé d’une cuisine. Du reste, l’allégation selon laquelle le studio serait équipé d’une cuisine est nouvelle et ne réalise pas les conditions de l’art. 317 al. 1 CPC, de sorte qu’elle s’avère irrecevable. Il en va de même de l’assertion selon laquelle le studio disposerait d’une autre porte de sortie donnant directement sur l’extérieur. Il est par contre établi au degré de la vraisemblance que pour accéder à son « studio », l’intimé doit passer par un couloir et des escaliers que les appelants occupent et utilisent à leur guise, l’intimé n’y ayant, selon les conventions manifestes des parties, qu’une forme de droit de passage. Il apparaît donc que les parties ne disposent pas de deux logements indépendants, mais se partagent un logement commun. De plus, le « studio » occupé par l’intimé ne bénéficie pas d’une porte qui puisse être fermée à clé pour être séparé du reste de la maison, ce qui</w:t>
      </w:r>
    </w:p>
    <w:p>
      <w:r>
        <w:t>- 15 - démontre que les lieux n’ont pas été aménagés de manière à constituer deux logements distincts. Le premier juge a d’ailleurs retenu, sans que cette constatation ne soit remise en cause en appel, que les appelants se rendaient à leur guise et sans avoir été invités dans la chambre de l’intimé. Le certificat d’hébergement délivré le 11 juin 2019 aux appelants par l’Association V.________ en liquidation, sous la signature de l’intimé, atteste du reste que les appelants se sont vu accorder le droit d’habiter « dans la maison sise [...] » depuis le mois d’avril 2017. Il n’y est pas indiqué qu’ils se seraient vu attribuer un appartement, ou un logement séparé, dans cette maison. Selon cette attestation, c’est de la maison dont ils peuvent jouir, avec l’intimé qui l’occupait déjà. Au demeurant, les appelants, qui n’ont pas déposé de réponse écrite sur la requête de mesures provisionnelles, n’ont pas formellement contesté en première instance, même à l’audience de mesures provisionnelles du 12 novembre 2021 où ils étaient représentés par un mandataire professionnel, l’allégué 13 de la requête de mesures provisionnelles, selon lequel l’intimé les logeait « à son domicile ». Il apparaît ainsi hautement vraisemblable que, contrairement à ce que soutiennent les appelants, les parties habitent dans un logement qui doit être qualifié de commun au sens de l’art. 28b al. 2 CC. L’argument des appelants selon lequel ils seraient au bénéfice d’un contrat de bail, voire d’un contrat de conciergerie, n’y change rien. Le premier juge n’a en effet pas retenu que les parties étaient « colocataires » comme les appelants le prétendent dans leur mémoire. En outre, l’existence d’un contrat de bail ou de conciergerie – si tant est qu’elle soit rendue vraisemblable – n’est pas décisive s’agissant de la notion de logement commun de l’art. 28b al. 2 CC, laquelle suppose une communauté ayant pour but le partage d’un logement commun, ce qui apparaît être le cas en l’espèce.</w:t>
      </w:r>
    </w:p>
    <w:p>
      <w:r>
        <w:t>- 16 - Enfin, on relèvera ici que les appelants ne contestent pas – à juste titre – avoir fait subir à l’intimé une atteinte à la personnalité sous la forme de violence, menaces ou harcèlement au sens de l’art. 28b al. 2 CC, de sorte que les deux conditions cumulatives prévues par cette disposition pour requérir leur expulsion sont réalisées.</w:t>
      </w:r>
    </w:p>
    <w:p>
      <w:r>
        <w:rPr>
          <w:b/>
        </w:rPr>
        <w:t>E. 5.1</w:t>
      </w:r>
    </w:p>
    <w:p>
      <w:r>
        <w:t>Sous le titre « Crainte des appelants par l’intimé à l’appel », les appelants font valoir en substance que la mesure d’expulsion ordonnée serait disproportionnée et que seules les mesures d’interdiction de contact et d’éloignement, auxquelles ils ont adhéré, seraient suffisantes et adéquates pour faire cesser et prévenir les atteintes à la personnalité. Ils relèvent que ce serait à tort que le premier juge a retenu la crainte de l’intimé face à eux, car il se serait opposé à leur dispense de comparution à l’audience du 12 novembre 2021 sans pour autant solliciter des mesures de protection (paravent, auditions séparées). En outre, il ressortirait de la requête que l’intimée souhaiterait uniquement que les excès de violence cessent. Les appelants soutiennent encore qu’il serait disproportionné de leur imposer une expulsion vu leur situation financière, alors que l’intimé serait quant à lui déjà relogé provisoirement ailleurs. Par ailleurs, le fait que la mesure d’expulsion s’applique également à l’appelante C.S.________ au motif qu’elle a participé aux pressions exercées contre l’intimé serait disproportionné car l’intéressé aurait déclaré à la police qu’elle ne l’avait jamais insulté, menacé ou frappé. L’autorité précédente a considéré qu’au vu des atteintes graves et répétées à sa personnalité subies par l’intimé depuis plusieurs semaines, qui l’avaient profondément affecté sur le plan physique et moral, les mesures requises, en particulier l’expulsion des appelants, respectaient le principe de la proportionnalité et étaient nécessaires pour faire cesser les atteintes et assurer la protection des intérêts personnels de l’intimé. Elle a relevé que la détermination dont les appelants avaient fait preuve, l’absence de toute forme de remise en question et leurs importants besoins financiers faisaient très sérieusement craindre la</w:t>
      </w:r>
    </w:p>
    <w:p>
      <w:r>
        <w:t>- 17 - réitération de comportements de même nature. Il ne suffirait donc pas d’interdire aux appelants de contacter l’intimé ou de leur restreindre l’accès à certaines pièces de la maison dès lors que le studio occupé par l’intimé n’était pas indépendant du reste du logement et que les appelants avaient démontré qu’ils n’avaient aucune considération pour leur hôte et qu’ils n’hésitaient pas à violer sa sphère privée pour arriver à leurs fins. Le premier juge a souligné que l’ordonnance devait également être dirigée contre l’appelante C.S.________ car même si l’intimé n’avait pas allégué que celle-ci l’aurait injurié, menacé ou frappé, il ne fallait pas perdre de vue que l’intéressée avait aussi signé la « convention » du 24 septembre 2018 et qu’à ce titre, elle avait participé aux pressions exercées contre l’intimé pour obtenir de l’argent. De plus, il ne faisait pas de doute que si l’appelante C.S.________ était autorisée à rester dans la maison, ses parents ne tarderaient pas à en profiter pour réintégrer le logement. L’autorité précédente a ainsi considéré que l’intérêt de l’intimé à ce que sa sécurité physique et sa santé psychique soient protégées contre une atteinte actuelle et imminente l’emportait sur l’intérêt pratique des appelants à continuer à disposer du logement commun. Il n’était pas admissible d’obliger l’intimé, homme âgé fragilisé par le harcèlement et les maltraitances subis, à vivre indéfiniment dans son bureau dans des conditions indignes, ni d’exiger de lui qu’il fasse appel à la générosité de tiers pour se trouver un abri provisoire, tandis que pour leur part, les appelants pouvaient bénéficier de l’aide des services sociaux pour se reloger.</w:t>
      </w:r>
    </w:p>
    <w:p>
      <w:r>
        <w:rPr>
          <w:b/>
        </w:rPr>
        <w:t>E. 5.2</w:t>
      </w:r>
    </w:p>
    <w:p>
      <w:r>
        <w:t>Lorsqu’il ordonne des mesures de protection au sens de l’art. 28b CC, le juge – qui dispose d’un pouvoir d’appréciation étendu – doit tenir compte du principe de proportionnalité, étant donné qu’elles sont susceptibles de heurter les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op. cit., n. 17 ad art. 28b CC et les références citées).</w:t>
      </w:r>
    </w:p>
    <w:p>
      <w:r>
        <w:t>- 18 -</w:t>
      </w:r>
    </w:p>
    <w:p>
      <w:r>
        <w:rPr>
          <w:b/>
        </w:rPr>
        <w:t>E. 5.3</w:t>
      </w:r>
    </w:p>
    <w:p>
      <w:r>
        <w:t>En l’espèce, on ne saurait considérer que l’autorité précédente, lorsqu’elle a défini les mesures de protection devant être prises, a retenu à tort l’existence d’une crainte de l’intimé face aux appelants, du simple fait que l’intimé s’est opposé à la dispense de comparution personnelle des appelants lors de l’audience du 12 novembre 2021. On rappellera en effet que le premier juge a retenu qu’en raison des comportements dont il avait été victime, l’intimé avait été profondément affecté sur le plan physique et moral, avait été terrorisé par la violence de l’appelant A.S.________, avait peur des appelants et avait pris au sérieux les menaces de mort proférées contre lui. Or, les appelants ne contestent pas les comportements en question, comportements qui ont amené le premier juge à tenir pour crédibles les déclarations faites par l’intimé lors de l’audience selon lesquelles, en substance, il avait peur des appelants. L’intimé a du reste allégué qu’il était terrorisé par les appelants (all. 41), sans que cette allégation ne soit formellement contestée. De plus – et si tant est que cela soit pertinent –, dans son courrier du 11 novembre 2021 concernant la demande de dispense de comparution personnelle des appelants, le conseil de l’intimé n’a pas expressément requis une confrontation comme le soutiennent les appelants, dès lors qu’il a indiqué que la présence des intéressés lui semblait indispensable pour instruire la cause et établir les mesures devant être ordonnées, tout en précisant qu’il ne verrait pas d’inconvénient à une dispense pour autant que les appelants ne s’opposent pas au maintien des mesures superprovisionnelles. On relèvera également que les appelants ont une lecture biaisée de la requête du 22 octobre 2021 lorsqu’ils soutiennent que l’intimé souhaiterait uniquement que les excès de violence cessent, raison pour laquelle seule une mesure d’éloignement et d’interdiction de contact serait nécessaire et proportionnée. Ils perdent en effet de vue que l’intimé a allégué (all. 45 à 58) les raisons pour lesquelles une expulsion était nécessaire, allégués du reste restés non formellement contestés. On observe encore qu’en soutenant que leur situation financière rendrait difficile, voire impossible, un départ du logement</w:t>
      </w:r>
    </w:p>
    <w:p>
      <w:r>
        <w:t>- 19 - litigieux, les appelants perdent de vue que leur situation a été prise en compte par l’autorité précédente dans la pesée des intérêts en présence, pour parvenir à la conclusion que l’intérêt de l’intimé à ce que sa sécurité physique et sa santé psychique soient protégées contre une atteinte actuelle et imminente l’emportait sur l’intérêt pratique des appelants à continuer à disposer du logement commun, ces derniers pouvant bénéficier de l’aide des services sociaux pour se reloger. Or, les appelants ne remettent pas spécifiquement en cause ce raisonnement et se contentent d’y opposer leur propre appréciation. A cet égard, l’argument tiré du fait que les services sociaux ne disposeraient pas de logement tombe à faux dès lors qu’il se fonde sur une pièce irrecevable en appel (cf. supra consid. 3.3). En outre, les appelants n’établissent pas qu’ils auraient cherché en vain à se reloger. C’est d’ailleurs le lieu de relever que les moyens développés en lien avec la date de l’expulsion au 1er décembre 2021 n’ont plus d’objet dès lors que, faute d’avoir obtenu l’effet suspensif, les appelants ont vraisemblablement déjà quitté les lieux. Ensuite, on ne saurait considérer que la mesure d’expulsion serait disproportionnée en tant qu’elle s’applique également à l’appelante C.S.________, du simple fait que l’intimé a déclaré devant la police que celle-ci ne l’avait jamais insulté, menacé ou frappé. Les appelants perdent de vue que le premier juge a relevé cette circonstance, mais a considéré qu’il fallait tenir compte du fait qu’elle avait participé aux pressions exercées contre l’intimé pour obtenir de l’argent en signant la convention la « convention » du 24 septembre 2018 et qu’il ne faisait aucun doute que si l’intéressée était autorisée à demeurer dans le logement litigieux, les autres appelants ne tarderaient pas à en profiter pour le réintégrer. Or, les appelants ne remettent pas en cause ce raisonnement, qui s’avère exempt de critique. Finalement, on ne voit pas en quoi les mesures d’interdiction d’approcher et de contact devraient être considérée comme les seules mesures adéquates, nécessaires et adaptées du simple fait que l’appelant n’aurait pas fourni la preuve que l’appelante B.S.________ aurait essayé de le contacter à nouveau par téléphone malgré les mesures</w:t>
      </w:r>
    </w:p>
    <w:p>
      <w:r>
        <w:t>- 20 - superprovisionnelles ordonnées. Contrairement à ce que semblent croire les appelants, le premier juge n’a pas tenu ce fait comme établi puisqu’il s’est contenté de relater les déclarations de l’intimé selon lesquelles il lui « semblait » que l’appelante précitée continuait de lui envoyer des SMS, messages qu’il n’avait pas pu lire car il avait bloqué ce correspondant. De plus, ce fait n’a été aucunement décisif s’agissant du choix de la mesure d’expulsion. Quoi qu’il en soit, l’autorité précédente a expliqué pour quelle raison les mesures requises, en particulier l’expulsion, étaient nécessaires et adéquates pour faire cesser les atteintes et assurer la protection de l’intimé, en précisant également pourquoi une interdiction de contact ou une restriction d’accès à certaines pièces de la maison serait insuffisante. Ce raisonnement ne prête pas le flanc à la critique et, à nouveau, les appelants ne le remettent pas spécifiquement en cause en s’appuyant sur les motifs invoqués par le premier juge. Compte tenu de ce qui a été exposé, les appelants échouent à démontrer que la mesure d’expulsion prononcé serait disproportionnée.</w:t>
      </w:r>
    </w:p>
    <w:p>
      <w:r>
        <w:rPr>
          <w:b/>
        </w:rPr>
        <w:t>E. 6</w:t>
      </w:r>
    </w:p>
    <w:p>
      <w:r>
        <w:t>Dans un dernier titre, intitulé « Préjudice difficilement réparable », les appelants soutiennent d’abord en substance qu’ils seraient au bénéfice d’un contrat de bail, respectivement de conciergerie, que ce contrat n’aurait pas été résilié dans les formes ni dans les délais légaux et que l’expulsion n’aurait pas été requise « devant l’autorité compétente », de sorte que cette mesure ne serait pas justifiée. L’argument confine à la témérité s’agissant d’une partie assistée d’un mandataire professionnel. En effet, la mesure d’expulsion litigieuse ne constitue pas une résiliation de bail devant satisfaire des exigences de forme ou respecter un préavis légal, mais une expulsion provisoire du logement commun au sens de l’art. 28b al. 2 CC, d’une durée de trois mois selon le chiffre II du dispositif de l’ordonnance. Or, cette disposition permet à la victime d’une atteinte à la personnalité sous forme de violences, menaces ou harcèlement d’obtenir l’expulsion de l’auteur de l’atteinte en cas de logement commun – conditions réalisée en</w:t>
      </w:r>
    </w:p>
    <w:p>
      <w:r>
        <w:t>- 21 - l’espèce (cf. supra consid. 4.3) –, indépendamment de la question de savoir sur la base de quel fondement juridique la victime et l’auteur de l’atteinte occupent ce logement. En outre, selon l’art. 6 ch. 1 CDPJ (Code de droit privé judiciaire vaudois du 12 janvier 2010 ; BLV 211.02), la compétence matérielle pour prendre les décisions de protection de la personnalité contre la violence, les menaces et le harcèlement au sens de l’art. 28b CC est donnée au président du tribunal d’arrondissement, sous réserve de la compétence des tribunaux spécialisés – hypothèse non réalisée en l’espèce dès lors qu’il faut entendre par là les mesures provisionnelles en divorce et les mesures protectrices de l’union conjugale, de même que les institutions équivalentes entre partenaires enregistrés, ainsi que les mesures contre le harcèlement qui peuvent relever de la juridiction du travail (Piotet, Droit privé judiciaire vaudois annoté, Bâle 2021, n. 1 ad art. 6 ch. 1 CDPJ). Les appelants font enfin valoir que l’intimé aurait trouvé la possibilité de se reloger rapidement, que tel ne serait pas leur cas et qu’il n’y aurait ainsi aucune urgence à ce qu’ils soient expulsés immédiatement de leur logement. Si tant est que cet argument conserve encore un objet dès lors que les appelants ont vraisemblablement déjà quitté les lieux, on rappellera à cet égard que le premier juge a déjà pris en compte ces circonstances dans sa pesée des intérêts et a abouti à la conclusion que les inconvénients pour les appelants en lien avec une obligation de quitter le logement devaient céder le pas devant l’intérêt de l’intimé à réintégrer son lieu de vie. Une fois de plus, les appelants ne remettent pas spécifiquement en cause les considérations de l’autorité précédente sur ce point et se contentent d’y opposer leur propre appréciation. A cela s’ajoute que l’on peut appliquer ici par analogie le principe prévalant en matière de violence domestique selon lequel « Wer schlägt, der geht » (« qui frappe s’en va »). On relèvera enfin que le fait que la victime quitte le logement commun pour trouver refuge ailleurs, dans l’idée de se protéger des violences graves dont elle est l’objet, ne saurait être assimilé à un abandon du logement commun qui empêcherait la victime de</w:t>
      </w:r>
    </w:p>
    <w:p>
      <w:r>
        <w:t>- 22 - requérir l’expulsion de l’auteur (Jeandin/Peyrot, op. cit., n. 20 ad art. 28b CC et les références citées).</w:t>
      </w:r>
    </w:p>
    <w:p>
      <w:r>
        <w:rPr>
          <w:b/>
        </w:rPr>
        <w:t>E. 7</w:t>
      </w:r>
    </w:p>
    <w:p>
      <w:r>
        <w:t>Dans la mesure où tous les moyens invoqués par les appelants pour faire annuler la mesure d’expulsion prononcée à leur encontre sont rejetés, il n’y a pas lieu de compenser les dépens de première instance comme ils le requièrent en partant du principe qu’ils obtiendraient gain de cause en appel.</w:t>
      </w:r>
    </w:p>
    <w:p>
      <w:r>
        <w:rPr>
          <w:b/>
        </w:rPr>
        <w:t>E. 8.1</w:t>
      </w:r>
    </w:p>
    <w:p>
      <w:r>
        <w:t>En définitive, l’appel, manifestement mal fondé, doit être rejeté et l’ordonnance confirmée. La requête d’assistance judiciaire formulée par les appelants doit par conséquent être rejetée, l’appel étant dénué de chance de succès (art. 117 let. b CPC).</w:t>
      </w:r>
    </w:p>
    <w:p>
      <w:r>
        <w:rPr>
          <w:b/>
        </w:rPr>
        <w:t>E. 8.2</w:t>
      </w:r>
    </w:p>
    <w:p>
      <w:r>
        <w:t>Il ne sera pas perçu de frais judiciaires de deuxième instance, que ce soit pour le présent arrêt ou la décision sur effet suspensif, dès lors que la cause relève d’un litige portant sur de la violence, des menaces ou du harcèlement au sens de l’art. 28b CC (art. 114 let. f CPC). Vu l’issue de la requête d’effet suspensif, les appelants, solidairement entre eux, devront verser à l’intimé de pleins dépens de deuxième instance (art. 106 al. 1 CPC), évalués à 1'800 fr., pour la réponse sur la requête d’effet suspensif.</w:t>
      </w:r>
    </w:p>
    <w:p>
      <w:r>
        <w:rPr>
          <w:b/>
        </w:rPr>
        <w:t>E. 8.3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w:t>
      </w:r>
    </w:p>
    <w:p>
      <w:r>
        <w:t>- 23 - a et b RAJ [Règlement du 7 décembre 2010 sur l’assistance judiciaire en matière civile ; BLV 211.02.3]). En l’occurrence, le conseil d’office de l’intimé a indiqué dans sa liste des opérations du 13 décembre 2021 avoir consacré 6 heures et 24 minutes au dossier, dont 18 minutes effectuées par un avocat- stagiaire, et a revendiqué des débours correspondant à un forfait de 2% de sa rémunération hors taxe. Vu la nature du litige et les difficultés de la cause, ce décompte peut être admis. Il s’ensuit qu’au tarif horaire de 180 fr., respectivement de 110 fr. pour les opérations effectuées par l’avocat-stagiaire, l’indemnité d’office de Me Jaques doit être fixée à 1'131 fr. ([6h06 x 180 fr.] + [0h18 x 110 fr.]), montant auquel s’ajoutent les débours par 22 fr. 60 (2% de 1'131 fr. ; art. 3bis al. 1 RAJ) et la TVA sur le tout par 88 fr. 85, soit à 1'242 fr. 45 au total.</w:t>
      </w:r>
    </w:p>
    <w:p>
      <w:r>
        <w:rPr>
          <w:b/>
        </w:rPr>
        <w:t>E. 8.4</w:t>
      </w:r>
    </w:p>
    <w:p>
      <w:r>
        <w:t>L’intimé, bénéficiaire de l’assistance judiciaire, est tenu au remboursement de l’indemnité de son conseil d’office provisoirement laissées à la charge de l’Etat, dès qu’il sera en mesure de le faire (art. 123 CPC). Il incombera à la Direction du recouvrement de la Direction générale des affaires institutionnelles et des communes de fixer le principe et les modalités de ce remboursement (art. 39a CDPJ). Par ces motifs, le Juge délégué de la Cour d’appel civile prononce : I. L’appel est rejeté. II. L’ordonnance est confirmée.</w:t>
      </w:r>
    </w:p>
    <w:p>
      <w:r>
        <w:t>- 24 - III. La requête d’assistance judiciaire est rejetée. IV. Les appelants A.S.________, B.S.________ et C.S.________, solidairement entre eux, doivent verser à l’intimé O.________ la somme de 1'800 fr. (mille huit cents francs) à titre de dépens de deuxième instance. V. L’indemnité d’office de Me Isabelle Jaques, conseil de l’intimé O.________, est arrêtée à 1'242 fr. 45 (mille deux cent quarante-deux francs et quarante-cinq centimes), débours et TVA compris. VI. L’arrêt, rendu sans frais judiciaires de deuxième instance, est exécutoire. Le juge délégué : Le greffier : Du Le présent arrêt, dont la rédaction a été approuvée à huis clos, est notifié en expédition complète à : - Me Martine Dang (pour A.S.________, B.S.________ et C.S.________), - Me Isabelle Jaques (pour O.________), et communiqué, par l'envoi de photocopies, à : - M. le Président du Tribunal civil de l’arrondissement de La Côte. Le présent arrêt peut faire l'objet d'un recours en matière civile devant le Tribunal fédéral au sens des art. 72 ss LTF (loi du 17 juin</w:t>
      </w:r>
    </w:p>
    <w:p>
      <w:r>
        <w:t>- 25 - 2005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