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PS21.004380 vom 7. August 2024</w:t>
      </w:r>
    </w:p>
    <w:p>
      <w:r>
        <w:t>VD Tribunal cantonal, 2024-08-07, FR</w:t>
      </w:r>
    </w:p>
    <w:p>
      <w:r>
        <w:rPr>
          <w:b/>
        </w:rPr>
        <w:t xml:space="preserve">Quelle: </w:t>
      </w:r>
      <w:r>
        <w:t>https://mcp.opencaselaw.ch/entscheid/vd_gerichte_PS21.004380</w:t>
      </w:r>
    </w:p>
    <w:p>
      <w:r>
        <w:t>FR: VD_GERICHTE PS21.004380 du 7 août 2024</w:t>
      </w:r>
    </w:p>
    <w:p>
      <w:r>
        <w:t>IT: VD_GERICHTE PS21.004380 del 7 agosto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l’appel doit être rejeté dans la mesure de sa recevabilité, en application de l’art. 312 al. 1 in fine CPC, et le jugement attaqué confirmé. Compte tenu de l’art. 114 let. e CPC – applicable à la procédure d’appel ou de recours (TF 4A_289/2017 du 21 février 2018 consid. 3.3 ; cf. Tappy, in Code de procédure civile commenté, 2019, n° 10 ad art. 114 CPC et les réf. citées) – et dans la mesure où l’intimé n’a pas</w:t>
      </w:r>
    </w:p>
    <w:p>
      <w:r>
        <w:t>- 32 - été invité à se déterminer, l’arrêt sera rendu sans frais judiciaires ni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