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PS20.034229 vom 25. März 2022</w:t>
      </w:r>
    </w:p>
    <w:p>
      <w:r>
        <w:t>VD Tribunal cantonal, 2022-03-25, FR</w:t>
      </w:r>
    </w:p>
    <w:p>
      <w:r>
        <w:rPr>
          <w:b/>
        </w:rPr>
        <w:t xml:space="preserve">Quelle: </w:t>
      </w:r>
      <w:r>
        <w:t>https://mcp.opencaselaw.ch/entscheid/vd_gerichte_PS20.034229</w:t>
      </w:r>
    </w:p>
    <w:p>
      <w:r>
        <w:t>FR: VD_GERICHTE PS20.034229 du 25 mars 2022</w:t>
      </w:r>
    </w:p>
    <w:p>
      <w:r>
        <w:t>IT: VD_GERICHTE PS20.034229 del 25 marzo 2022</w:t>
      </w:r>
    </w:p>
    <w:p>
      <w:pPr>
        <w:pStyle w:val="Heading2"/>
      </w:pPr>
      <w:r>
        <w:t>Erwägungen</w:t>
      </w:r>
    </w:p>
    <w:p>
      <w:r>
        <w:rPr>
          <w:b/>
        </w:rPr>
        <w:t>E. 3.1</w:t>
      </w:r>
    </w:p>
    <w:p>
      <w:r>
        <w:t>L’appelant, qui ne conteste pas le considérant selon lequel le délai de 20 jours pour ouvrir action en libération de dette au sens de l’art.</w:t>
      </w:r>
    </w:p>
    <w:p>
      <w:r>
        <w:t>- 7 - 82 al. 2 LP est arrivé à échéance le lundi 31 août 2020, reproche à la première juge d’avoir considéré qu’il n’avait pas établi le respect de ce délai.</w:t>
      </w:r>
    </w:p>
    <w:p>
      <w:r>
        <w:rPr>
          <w:b/>
        </w:rPr>
        <w:t>E. 3.2.1</w:t>
      </w:r>
    </w:p>
    <w:p>
      <w:r>
        <w:t>A teneur de l'art. 83 al. 2 LP, le débiteur peut, dans les vingt jours à compter de la mainlevée, intenter au for de la poursuite une action en libération de dette. L'action en libération de dette de l’art. 83 al. 2 LP est une action négatoire de droit, fondée sur le droit matériel (ATF 128 III 44 consid. 4a, JdT 2001 II 71, SJ 2002 I 174 ; ATF 127 III 232 consid. 3a, JdT 2001 II 19), qui tend à la constatation de l'inexistence ou de l'inexigibilité de la créance invoquée en poursuite (ATF 124 III 207 consid. 3a, JdT 1999 II 55, SJ 1998 644 ; ATF 118 III 40 consid. 5a, JdT 1994 II 112 et les références citées). Le délai pour ouvrir l’action en libération de dette est un délai de déchéance, fixé par la loi (Abbet, Délais, féries et suspensions en droit des poursuites et en procédure civile, in JdT 2016 II 72 n. 1.1). Aux termes de l’art. 31 LP, les règles du CPC (art. 142 ss CPC) s’appliquent à la computation et à l’observation des délais, sauf disposition contraire de la LP (art. 32-32a et 56 à 63 LP). L’observation du délai dépend de la forme que doit revêtir l’acte à accomplir (Abbet, op. cit., n. 1.3).</w:t>
      </w:r>
    </w:p>
    <w:p>
      <w:r>
        <w:rPr>
          <w:b/>
        </w:rPr>
        <w:t>E. 3.2.2</w:t>
      </w:r>
    </w:p>
    <w:p>
      <w:r>
        <w:t>Aux termes de l’art. 143 al. 1 CPC, les actes doivent être remis au plus tard le dernier jour du délai soit au tribunal soit à l’attention de ce dernier, à la Poste suisse ou à une représentation diplomatique ou consulaire suisse. Compte tenu du renvoi de l’art. 31 LP, l’art. 143 al. 1 CPC s’applique à la computation du délai prévu par l’art. 31 LP et la jurisprudence rendue en application de l’art. 143 CPC est applicable au dépôt d’une demande en libération de dette (principe de l’expédition; Abbet, op. cit., n. 1.3 et 1.3.4). Selon le Tribunal fédéral, la date du dépôt d’un acte de procédure est présumée coïncider avec celle du sceau postal. La partie qui prétend avoir déposé son acte la veille de la date attestée par le sceau</w:t>
      </w:r>
    </w:p>
    <w:p>
      <w:r>
        <w:t>- 8 - postal a cependant le droit de renverser cette présomption par tous les moyens de preuve appropriés (TF 6B_157/2020 du 7 février 2020 consid. 2.3 et les réf. ; TF 5A_965/2020 du 11 janvier 2021 consid. 4.2.3). Dans un arrêt 5A_972/2018 du 5 février 2019, le Tribunal fédéral a considéré que selon l'art. 143 al. 1 CPC – qui correspond matériellement à l'art. 48 al. 1 LTF (TF 4A_215/2015 du 2 octobre 2015 consid. 3.1) –, les actes doivent être remis au plus tard le dernier jour du délai soit au tribunal soit à l'attention de ce dernier, à la poste suisse ou à une représentation diplomatique ou consulaire suisse. Le délai est sauvegardé si l'acte est remis le dernier jour du délai à minuit (ATF 142 V 389 consid. 2.2 et les références). En cas de doute, la preuve du respect du délai, et donc d'une telle remise, doit être apportée par celui qui soutient avoir agi en temps utile au degré de la certitude et non simplement au degré de la vraisemblance prépondérante; elle résulte en général de preuves "préconstituées" (sceau postal, récépissé d'envoi recommandé ou encore accusé de réception en cas de dépôt pendant les heures de bureau; TF 8C_696/2018 du 7 novembre 2018 consid. 3.3; 1B_220/2018 du 11 septembre 2018 consid. 4; Tappy, in Commentaire romand, CPC, 2e éd. 2019, n° 8 ad art. 143 CPC); la date d'affranchissement postal ou le code à barres pour lettres avec justificatif de distribution imprimés au moyen d'une machine privée ne constituent en revanche pas la preuve de la remise de l'envoi à la poste (cf. Frésard, in Commentaire de la LTF, 2ème éd. 2014, n° 33 ad art. 48 LTF et l'arrêt cité). D'autres modes de preuves sont toutefois possibles, en particulier l'attestation de la date de l'envoi par un ou plusieurs témoins mentionnés sur l'enveloppe (ATF 142 V 389 consid. 2.2 et les références; TF 2C_404/2011 du 21 novembre 2011 consid. 2.3, in RSPC 2012 p. 113; 5A_267/2008 du 16 octobre 2008 consid 3.2, in RSPC 2009 p. 34 et 153); la présence de signatures sur l'enveloppe n'est pas, en soi, un moyen de preuve du dépôt en temps utile, la preuve résidant dans le témoignage du ou des signataires; il incombe dès lors à l'intéressé d'offrir cette preuve dans un délai adapté aux circonstances ("innert nützlicher Frist"), en indiquant l'identité et l'adresse du ou des témoins (TF 8C_696/2018 précité consid. 3.3). Un seul témoin peut être suffisant, pour autant qu’il</w:t>
      </w:r>
    </w:p>
    <w:p>
      <w:r>
        <w:t>- 9 - soit crédible (CPF 30 octobre 2017/33). Toujours selon le Tribunal fédéral, l’autorité est tenue de donner l’occasion à la partie de renverser la présomption découlant du sceau postal (ATF 142 V 389). Toutefois, l’avocat qui se contente de déposer son pli dans une boîte postale n’est pas sans ignorer le risque qu’il court que ce pli ne soit pas enregistré le jour même de son dépôt, mais à une date ultérieure. S’il souhaite renverser la présomption résultant du sceau postal apposé sur l’enveloppe ayant contenu une pièce de procédure, on est en droit d’attendre de lui qu’il indique spontanément – et avant l’échéance du délai de recours – à l’autorité compétente avoir respecté le délai, en présentant les moyens de preuve en attestant (ATF 147 IV 526 consid. 3.1 ; TF 6B_477/2015 du 22 décembre 2015 c. 2.1.2 ; TF 6B_157/2010 du 7 février 2020 consid. 2.3, SJ 2020 I 232 ; TF 4A_317/2019 du 30 juin 2020 consid. 1.2). Cela vaut également pour l'avocat étranger ; il doit, en lien avec l’allégation du caractère recevable de son acte, offrir à l'autorité compétente sans qu’il soit besoin de l’interpeller, les moyens de preuves en attestant (TF 5A_503/2019 du 20 décembre 2019 c. 4.1, RSPC 2020 p. 227). Ainsi, il n'est pas admissible d'indiquer à l'autorité judiciaire, pour la première fois après l'expiration du délai de recours, que le pli litigieux aurait été déposé en présence de témoins, ou encore d'affirmer qu'il avait été déposé dans les délais tout en évoquant un enregistrement vidéo tenu à la disposition du Tribunal fédéral. Cette manière de faire ne permet pas de renverser la présomption découlant du sceau postal, ni celle de tardiveté du recours (ATF 147 IV 526 consid. 3.1 ; TF 6B_157/2020 du 7 février 2020 consid. 2.3). Les parties doivent donc produire les preuves du dépôt en temps utile avant l'expiration du délai de recours, ou à tout le moins les désigner dans l'acte de recours, ses annexes, ou encore sur l'enveloppe (ATF 147 IV 526 consid. 3.1 ). Le vice tiré de la tardiveté de l’acte est irréparable et entraîne l’irrecevabilité de celui-ci (ATF 125 V 65 consid. 1 ; TF 5A_403/2017 du 11 septembre 2017 consid. 6.3.1 ; TF 5A_741/2016 du 6 décembre 2016 consid. 6.1.2 ; TF 4A_48/2016 du 1er février 2016 consid. 3.3 ; TF 1C_586/2015 du 12 novembre 2015 consid. 2.2 et 2.3, SJ 2016 I 220).</w:t>
      </w:r>
    </w:p>
    <w:p>
      <w:r>
        <w:t>- 10 -</w:t>
      </w:r>
    </w:p>
    <w:p>
      <w:r>
        <w:rPr>
          <w:b/>
        </w:rPr>
        <w:t>E. 3.3</w:t>
      </w:r>
    </w:p>
    <w:p>
      <w:r>
        <w:t>En l’espèce, […], agent d’affaires breveté et mandataire professionnel, qui représentait l’appelant a mentionné sur la demande en libération de dette une date (le 1er septembre 2020) non identique à celle du courrier d’envoi de la demande (le 31 août 2020). Il a de plus remis le pli à la poste par e-stamp et sans prendre la peine d’indiquer sur le pli quoi que ce soit en lien avec la preuve du respect du délai. Il n’a pas proposé spontanément, ni dans le délai de vingt jours pour déposer la demande, d’offre de preuve du dépôt de cette écriture en temps utile et notamment le nom du témoin [...] et n’a pas davantage requis son audition. Ce faisant, il n’a pas satisfait aux incombances du mandataire professionnel en matière de preuve du respect des délais, telles que répétées par la jurisprudence. On relèvera encore que l’agent d’affaires breveté est conscient de la lacune commise en première instance, puisqu’il a procédé correctement en appel, soit en indiquant déjà sur l’enveloppe d’envoi les coordonnées des témoins susceptibles selon lui de prouver la remise en temps utile du pli à la boîte postale. Au vu de ce qui précède, c’est à juste titre que la première juge a considéré que la demande était tardive et, partant, irrecevable.</w:t>
      </w:r>
    </w:p>
    <w:p>
      <w:r>
        <w:rPr>
          <w:b/>
        </w:rPr>
        <w:t>E. 4</w:t>
      </w:r>
    </w:p>
    <w:p>
      <w:r>
        <w:t>En définitive, l’appel doit être rejeté et la décision entreprise confirmée. Les frais judiciaires de deuxième instance, arrêtés à 1’000 fr., soit 800 francs à titre d’émolument forfaitaire de l’arrêt et 200 fr. à titre d’émolument forfaitaire de décision sur la requête incidente en fourniture de sûretés (art. 62 al. 1 TFJC [Tarif des frais judiciaires civils du 28 septembre 2010 ; RSV 270.11.5]) et art. 28 TFJC par renvoi de l’art. 51 TFJC) seront mis à la charge de l’appelant, qui succombe (art. 106 al. 1 CPC).</w:t>
      </w:r>
    </w:p>
    <w:p>
      <w:r>
        <w:t>- 11 - L’appelant versera en outre à l’intimé la somme de 2’000 fr. (art. 7 TDC [Tarif des dépens en matière civile du 23 novembre 2010 ; RSV 270.11.6]) à titre de dépens de deuxième instance. En conséquence, les sûretés versées par l’appelant à hauteur de 2'000 francs seront libérées en faveur de l’intimé en paiement des dépens qui lui sont dus.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