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PS18.054745 vom 12. März 2020</w:t>
      </w:r>
    </w:p>
    <w:p>
      <w:r>
        <w:t>VD Tribunal cantonal, 2020-03-12, FR</w:t>
      </w:r>
    </w:p>
    <w:p>
      <w:r>
        <w:rPr>
          <w:b/>
        </w:rPr>
        <w:t xml:space="preserve">Quelle: </w:t>
      </w:r>
      <w:r>
        <w:t>https://mcp.opencaselaw.ch/entscheid/vd_gerichte_PS18.054745</w:t>
      </w:r>
    </w:p>
    <w:p>
      <w:r>
        <w:t>FR: VD_GERICHTE PS18.054745 du 12 mars 2020</w:t>
      </w:r>
    </w:p>
    <w:p>
      <w:r>
        <w:t>IT: VD_GERICHTE PS18.054745 del 12 marzo 2020</w:t>
      </w:r>
    </w:p>
    <w:p>
      <w:pPr>
        <w:pStyle w:val="Heading2"/>
      </w:pPr>
      <w:r>
        <w:t>Erwägungen</w:t>
      </w:r>
    </w:p>
    <w:p>
      <w:r>
        <w:rPr>
          <w:b/>
        </w:rPr>
        <w:t>E. 3.1</w:t>
      </w:r>
    </w:p>
    <w:p>
      <w:r>
        <w:t>La recourante se plaint d’une violation de son droit d’être entendue. Le premier juge n’aurait pas motivé sa décision d’allouer les dépens de 1'800 fr. et se serait limité à mentionner les art. 5, 19 al. 2 et 20 al. 2 TDC.</w:t>
      </w:r>
    </w:p>
    <w:p>
      <w:r>
        <w:rPr>
          <w:b/>
        </w:rPr>
        <w:t>E. 3.2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 TF 9C_808/2017 du 12 mars 2018 consid. 4.1). La jurisprudence a déduit du droit d'être entendu de l'art. 29 al. 2 Cst. l'obligation pour l'autorité de motiver sa décision, afin que</w:t>
      </w:r>
    </w:p>
    <w:p>
      <w:r>
        <w:t>- 7 - l'intéressé puisse se rendre compte de la portée de celle-ci et l'attaquer en connaissance de cause (ATF 142 I 135 consid. 2.1 ; ATF 138 I 232 consid. 5.1 ; ATF 136 V 351 consid. 4.2). La motivation d'une décision est suffisante lorsque l'autorité mentionne, au moins brièvement, les motifs qui l'ont guidée et sur lesquels elle a fondé son raisonnement (TF 5A_107/2019 du 5 juin 2019 consid. 2.1). La décision fixant le montant des dépens alloués à une partie n'a en principe pas besoin d'être motivée, du moins lorsqu'il existe un tarif ou une règle légale fixant des minima et maxima et que le tribunal s'en tient à ces limites, sans que la partie n'invoque des éléments extraordinaires (ATF 111 Ia 1 consid. 2a ; TF 5A_749/2019 du 15 novembre 2019 consid. 3.3 ; TF 4D_54/2016 du 2 novembre 2016 consid. 4.2.2 ; TF 5D_15/2012 du 28 mars 2012 consid. 4.2.2 ). Un devoir de motivation existe lorsque, malgré une pratique bien établie, le juge alloue une indemnité de dépens bien inférieure à celle usuellement fixée (TF 5A_588/2018 du 25 mars 2019 consid. 3.1.2 ; TF 5A_932/2016 du 24 juillet 2017 consid. 2.1.1 ; TF 4D_97/2014 du 16 avril 2015 consid. 8.2 ; Colombini, Code de procédure civile, Condensé de la jurisprudence fédérale et vaudoise, 2018, n. 2.1 ad art. 105 CPC). Est suffisante la motivation relative aux frais et dépens, « compte tenu de l'issue du litige » (CREC 12 décembre 2019/342 consid. 3.3).</w:t>
      </w:r>
    </w:p>
    <w:p>
      <w:r>
        <w:rPr>
          <w:b/>
        </w:rPr>
        <w:t>E. 3.3</w:t>
      </w:r>
    </w:p>
    <w:p>
      <w:r>
        <w:t>En l’espèce, on ne discerne aucune violation du droit d'être entendue de la recourante. En effet, le simple renvoi aux dispositions topiques pour la fixation des frais judiciaires et des dépens est usuel et en règle générale compréhensible, en particulier pour une partie assistée par un avocat. Cela l'est d'autant plus ici puisqu'il ressort de la phrase introductive du dispositif que le premier juge a appliqué les art. 59, 60 et 106 al. 1 CPC, 23 et 27 al. 3 TFJC, et 5, 19 al. 2 et 20 al. 2 TDC. Il a aussi précisé qu’au vu de l’issue du litige, les frais devaient être mis à la charge de A.R.________, B.R.________, A.L.________, B.L.________ et B.________ (ci- après : les intimés), qui devaient verser des dépens à la recourante. Par ailleurs, le premier juge a motivé expressément la légère réduction opérée par le retrait de la requête de suspension. Aussi, la recourante a pu former</w:t>
      </w:r>
    </w:p>
    <w:p>
      <w:r>
        <w:t>- 8 - son recours et formuler ses conclusions en connaissance de cause, comme cela ressort de son acte de recours. Le grief de la violation du droit d'être entendu doit être rejeté.</w:t>
      </w:r>
    </w:p>
    <w:p>
      <w:r>
        <w:rPr>
          <w:b/>
        </w:rPr>
        <w:t>E. 4.1</w:t>
      </w:r>
    </w:p>
    <w:p>
      <w:r>
        <w:t>Selon la recourante, la valeur litigieuse étant de 55'000 fr., les dépens aurait dû se situer entre 2'000 fr. et 10'000 fr., référence étant faite à l’art. 5 TDC. Elle soutient en outre que l'art. 20 al. 2 TDC n'aurait pas dû être appliqué, dès lors que la requête incidente déposée faisait suite à une longue interrogation, rendue nécessaire par le dépôt simultané par les parties adverses de deux actes contenant des conclusions identiques, ainsi que de nombreuses recherches juridiques, de sorte que l'écriture ne serait pas extrêmement succincte. C’est même l’art. 20 al. 1 TDC qui aurait dû s’appliquer. Du reste, dans sa décision du 8 octobre 2019, le premier juge n’aurait pas fait application de l'art. 20 al. 2 TDC. La requête incidente aurait par ailleurs fait l'objet de plusieurs échanges de courriers – engendrant des frais – adressés à l'autorité de première instance. Le fait que le président ait tenu audience, contrairement à ce qui avait été prévu initialement, démontrerait également la difficulté de la cause. La complexité de la cause serait encore démontrée par la décision de suspension du président du 5 mars 2019, ayant amené l’intéressée à recourir auprès de la Chambre de céans avec succès. S'agissant enfin du retrait de la requête de suspension, la recourante considère qu'elle était devenue sans objet et que le retrait simplifiait ainsi la procédure, conformément au raisonnement tenu aussi par la Juge déléguée de la Chambre patrimoniale dans son prononcé du 27 septembre 2019, les parties adverses ne s'étant du reste pas déterminées sur ladite requête de suspension.</w:t>
      </w:r>
    </w:p>
    <w:p>
      <w:r>
        <w:rPr>
          <w:b/>
        </w:rPr>
        <w:t>E. 4.2.1</w:t>
      </w:r>
    </w:p>
    <w:p>
      <w:r>
        <w:t>Selon l'art. 3 al. 2 TDC, dans les contestations portant sur des affaires patrimoniales, le défraiement est fixé selon le type de procédure et la valeur litigieuse, en considération de l'importance de la cause, de ses</w:t>
      </w:r>
    </w:p>
    <w:p>
      <w:r>
        <w:t>- 9 - difficultés, de l'ampleur du travail et du temps consacré par l'avocat. A cet égard, le juge apprécie l'étendue des opérations nécessaires pour la conduite du procès et se fonde, en règle générale, sur le tarif horaire moyen usuellement admis. L'art. 5 TDC, applicable à la procédure simplifiée, prévoit un montant de dépens de 2'000 fr. à 10'000 fr. pour une valeur litigeuse allant de 30'001 fr. à 100'000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 CREC 23 mai 2019/163 consid. 3.2.2).</w:t>
      </w:r>
    </w:p>
    <w:p>
      <w:r>
        <w:rPr>
          <w:b/>
        </w:rPr>
        <w:t>E. 4.2.2</w:t>
      </w:r>
    </w:p>
    <w:p>
      <w:r>
        <w:t>Selon l'art. 20 al. 1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tarif. Quant à l’art. 20 al. 2 TDC, il prévoit que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On doit en principe s’en tenir aux barèmes fixés et on ne peut s’en écarter, dans l’hypothèse envisagée à l’art. 20 al. 2 TDC, que si la disproportion est évidente. Il en découle qu’on ne descendra en dessous du minimum du tarif que dans des cas exceptionnels. La jurisprudence du Tribunal fédéral relative à l’art. 8 du règlement sur les dépens devant le Tribunal fédéral – que l’art. 20 al. 2 TDC a repris – retient peu de situations justifiant une réduction des dépens. Elle relève en particulier trois cas, le premier étant celui de l’intimé qui n’a fait que déposer une écriture extrêmement succincte, telle celle relevant l’irrecevabilité du recours</w:t>
      </w:r>
    </w:p>
    <w:p>
      <w:r>
        <w:t>- 10 - déposé (TF 4A_634/2011 du 20 janvier 2012 consid. 4 ; TF 4A_349/2011 du</w:t>
      </w:r>
    </w:p>
    <w:p>
      <w:r>
        <w:rPr>
          <w:b/>
        </w:rPr>
        <w:t>E. 4.3</w:t>
      </w:r>
    </w:p>
    <w:p>
      <w:r>
        <w:t>Force est tout d’abord de relever que les dépens ont été alloués pour une procédure incidente et pas une procédure au fond. Par ailleurs, les parties sont opposées dans diverses procédures, conduites par les mêmes mandataires. Il s’agit de deux cas dans lesquels le Tribunal fédéral considère que les dépens doivent être réduits. Pour ce qu’il en est de l’art. 5 TDC, cette disposition est en principe applicable à la procédure simplifiée « au fond », y compris s'agissant de la valeur litigieuse « au fond » de 55'000 francs. Le premier juge a appliqué cette disposition en lien avec l'art. 20 al. 2 TDC afin de tenir compte du type de procédure, incidente en l'espèce, conformément à l'art. 3 al. 2 TDC qui prévoit expressément le critère du type de procédure pour l'allocation de dépens, ce qui n'a du reste pas échappé à la recourante (cf. p. 4 du recours). On relèvera que le renvoi, à titre de comparaison des dépens alloués, à la décision rendue par le même magistrat le 8 octobre 2019 est irrecevable (cf. supra consid. 2.2). Au demeurant, le premier juge a également pris en compte le type de procédure s'agissant de la fixation et de la réduction des frais judiciaires de première instance, arrêtés à 400 fr. après réduction, en application des art. 23 et 27 al. 3 TFJC. On peut inférer du montant modeste des frais judiciaires retenus que le premier juge ne s'est pas non plus basé à cet égard exclusivement sur la valeur litigieuse « au fond » de 55'000 fr. (cf. art. 23 TFJC).</w:t>
      </w:r>
    </w:p>
    <w:p>
      <w:r>
        <w:t>- 11 - La requête incidente avait été déposée le 18 juillet 2019 auprès du président. Puis la recourante avait sollicité, le 26 août 2019, la suspension de la procédure incidente, au motif qu'une requête similaire – incluant une demande de suspension – était pendante devant la Chambre patrimoniale depuis le 29 mai 2019. La Juge déléguée de la Chambre patrimoniale a statué le 27 septembre 2019 en faveur de la recourante s'agissant de la suspension, en admettant sa requête incidente du 29 mai 2019 en tant qu'elle portait sur la suspension de la cause, et en ordonnant la suspension de la cause portée devant elle jusqu'à ce que le premier juge se soit déterminé sur sa compétence, soit qu'il ait statué sur la requête incidente pendante devant lui. Contrairement à ce que laisse entendre la recourante, les intimés se sont déterminés sur la requête de suspension de la procédure incidente pendante devant le président, dans des courriers des 4 et 18 septembre 2019. S'agissant de l'audience, les parties adverses y avaient certes renoncé dans leurs déterminations du 22 août 2019. Toutefois, la recourante ne soutient ni ne démontre qu'elle y avait également renoncé. La réduction des dépens est uniquement due au retrait de la requête de suspension de la procédure incidente par la recourante selon la décision attaquée. Si la requête de suspension de la procédure incidente pendante devant le premier juge est devenue sans objet, c'est en raison de son retrait. Or il faut admettre que la requête de suspension de la procédure incidente devant le premier juge n'était pas nécessaire, dès lors qu'une requête incidente identique – incluant la suspension – avait déjà été déposée auprès de la Chambre patrimoniale. Il s'ensuit qu’on ne saurait reprocher au premier juge d'avoir réduit les dépens à cet égard. Au surplus, la recourante ne parvient pas à démontrer – concrètement – que la quotité de 1'800 fr. ne couvrirait pas son écriture, l'audience et les échanges de courriers nécessaires dans le cadre de cette procédure. Si on admet, par surabondance que, sans réduction, le montant des pleins dépens aurait été de 2'000 fr., cela correspondrait, à un tarif horaire moyen de 320 fr., à 6,25 heures au total. Compte tenu d'une audience d’1 h 35 et de frais de vacation, il apparaît que le solde du</w:t>
      </w:r>
    </w:p>
    <w:p>
      <w:r>
        <w:t>- 12 - montant couvre suffisamment la requête incidente, ce d’autant qu’une requête similaire avait déjà été introduite auprès de la Chambre patrimoniale, ainsi que les échanges de courriers nécessaires dans le cadre de la procédure pendante devant le premier juge. On relèvera encore que la complexité de la cause plaidée par la recourante n’est pas démontrée en l’état, la référence à l’arrêt de la Chambre de céans du 30 avril 2019 (no 132) étant dénuée de toute pertinence.</w:t>
      </w:r>
    </w:p>
    <w:p>
      <w:r>
        <w:rPr>
          <w:b/>
        </w:rPr>
        <w:t>E. 4.4</w:t>
      </w:r>
    </w:p>
    <w:p>
      <w:r>
        <w:t>Au vu de ce qui précède, le recours doit être rejeté selon l’art. 322 al. 1 in fine CPC et la décision entreprise confirmée.</w:t>
      </w:r>
    </w:p>
    <w:p>
      <w:r>
        <w:rPr>
          <w:b/>
        </w:rPr>
        <w:t>E. 4.5</w:t>
      </w:r>
    </w:p>
    <w:p>
      <w:r>
        <w:t>Les frais judiciaires de deuxième instance, arrêtés à 200 fr. (art. 69 TFJC), seront mis à la charge de la recourante, qui succombe (art. 106 al. 1 CPC). Les intimés n’ayant pas été invités à se déterminer, il n’y a pas lieu à l’allocation de dépens de deuxième instance.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N.________. IV. L’arrêt est exécutoire.</w:t>
      </w:r>
    </w:p>
    <w:p>
      <w:r>
        <w:t>- 13 - Le président : La greffière : Du L'arrêt qui précède, dont la rédaction a été approuvée à huis clos, est notifié à : - Me Frank Tièche (pour N.________), - Me Patrice Girardet (pour A.R.________, B.R.________, A.L.________, B.L.________ et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w:t>
      </w:r>
    </w:p>
    <w:p>
      <w:r>
        <w:t>- 14 - La greffière :</w:t>
      </w:r>
    </w:p>
    <w:p>
      <w:r>
        <w:rPr>
          <w:b/>
        </w:rPr>
        <w:t>E. 5</w:t>
      </w:r>
    </w:p>
    <w:p>
      <w:r>
        <w:t>octobre 2011 consid. 4), le deuxième se réalisant lorsque le même mandataire est impliqué dans plusieurs procédures parallèles portant sur le même état de fait ou opposant les mêmes parties, le temps consacré à chacune de ces procédures se trouvant dès lors diminué (TF 4A_93/2010 du 29 juin 2010 consid. 4 ; TF 4D_57 à 67/2009 du 13 juillet 2009 consid. 2) et le troisième lorsque la procédure ne porte pas sur le fond mais sur un incident ou sur des questions procédurales limitées (TF 4A_546/2013 du 13 mars 2014 consid. 4 ; TF 4A_239/2013 du 9 septembre 2013 consid. 4 ; Colombini, op. cit., n. 3.3.8 ad art. 96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