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PS18.003710 vom 9. Mai 2018</w:t>
      </w:r>
    </w:p>
    <w:p>
      <w:r>
        <w:t>VD Tribunal cantonal, 2018-05-09, FR</w:t>
      </w:r>
    </w:p>
    <w:p>
      <w:r>
        <w:rPr>
          <w:b/>
        </w:rPr>
        <w:t xml:space="preserve">Quelle: </w:t>
      </w:r>
      <w:r>
        <w:t>https://mcp.opencaselaw.ch/entscheid/vd_gerichte_PS18.003710</w:t>
      </w:r>
    </w:p>
    <w:p>
      <w:r>
        <w:t>FR: VD_GERICHTE PS18.003710 du 9 mai 2018</w:t>
      </w:r>
    </w:p>
    <w:p>
      <w:r>
        <w:t>IT: VD_GERICHTE PS18.003710 del 9 maggio 2018</w:t>
      </w:r>
    </w:p>
    <w:p>
      <w:pPr>
        <w:pStyle w:val="Heading2"/>
      </w:pPr>
      <w:r>
        <w:t>Erwägungen</w:t>
      </w:r>
    </w:p>
    <w:p>
      <w:r>
        <w:rPr>
          <w:b/>
        </w:rPr>
        <w:t>E. 1</w:t>
      </w:r>
    </w:p>
    <w:p>
      <w:r>
        <w:t>Le 24 janvier 2018, A.D.________, représentée par l’avocat Q.________, a déposé auprès du Président du Tribunal civil de l’arrondissement de la Broye et du Nord vaudois (ci-après le Président) une requête de mesures superprovisionnelles et provisionnelles tendant à la protection de sa personnalité au sens de l’art. 28b CC (Code civil suisse du 10 décembre 1907 ; RS 210). A l’appui de cette écriture, comportant 9 pages, elle a produit un bordereau de 8 pièces, plus une procuration.</w:t>
      </w:r>
    </w:p>
    <w:p>
      <w:r>
        <w:rPr>
          <w:b/>
        </w:rPr>
        <w:t>E. 1.1.1</w:t>
      </w:r>
    </w:p>
    <w:p>
      <w:r>
        <w:t>Le recours est recevable contre les autres décisions et ordonnances d'instruction de première instance dans les cas prévus par la loi (art. 319 let. b ch. 1 CPC [Code de procédure civile suisse du 19 décembre 2008 ;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w:t>
      </w:r>
    </w:p>
    <w:p>
      <w:r>
        <w:t>- 6 -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w:t>
      </w:r>
    </w:p>
    <w:p>
      <w:r>
        <w:rPr>
          <w:b/>
        </w:rPr>
        <w:t>E. 1.1.2</w:t>
      </w:r>
    </w:p>
    <w:p>
      <w:r>
        <w:t>Selon l’art. 321 al. 1 CPC, le recours doit être écrit et motivé. Nonobstant le silence de la loi sur ce point, l’acte de recours doit en outre contenir, sous peine d'irrecevabilité, des conclusions, en annulation ou au fond, soit ce que la partie veut que le tribunal lui alloue dans sa décision (CREC 11 mai 2012/173). Même si le recours au sens des art. 319 ss CPC déploie avant tout un effet cassatoire, le recourant ne peut pas se limiter à conclure à l’annulation de la décision attaquée, mais doit prendre des conclusions au fond, sous peine d’irrecevabilité du recours, et exposer ce qu’il veut que le tribunal lui alloue dans sa décision (Jeandin, CPC commenté,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CREC 11 juillet 2014/238). L'exigence de conclusions chiffrées sous peine d'irrecevabilité du recours contre un prononcé sur frais ne constitue pas un formalisme excessif (TF 4D_61/2011 du 26 octobre 2011 consid. 2, publié in RSPC 2012 p. 92 ; cf. TF 4A_35/2015 du 12 juin 2015 consid. 3.2 et 3.3 ; 4A_579/2013 du 17 février 2014 consid. 4).</w:t>
      </w:r>
    </w:p>
    <w:p>
      <w:r>
        <w:rPr>
          <w:b/>
        </w:rPr>
        <w:t>E. 1.2</w:t>
      </w:r>
    </w:p>
    <w:p>
      <w:r>
        <w:t>En l’occurrence, le recours, dûment motivé, est interjeté en temps utile par une partie qui y a un intérêt digne de protection (art. 59 al. 2 let. a CPC). La recevabilité de la conclusion en réforme, qui n'est pas chiffrée quand bien même le recourant, avocat, était en mesure de procéder au calcul de l'indemnité à laquelle il prétend sur la base des heures annoncées, s’avère douteuse. Cette question peut toutefois</w:t>
      </w:r>
    </w:p>
    <w:p>
      <w:r>
        <w:t>- 7 - demeurer indécise, le recours, manifestement infondé, devant quoi qu'il en soit être rejeté au vu des considérations qui vont suivre. 2. Le recours est recevable pour violation du droit et constatation manifestement inexacte des faits (art. 320 CPC). L'autorité de recours dispose d'un plein pouvoir d'examen s'agissant de la violation du droit ; elle revoit librement les questions de droit soulevées par le recourant et peut substituer ses propres motifs à ceux de l'autorité précédente ou du recourant (Hohl, Procédure civile, tome II, 2e éd., Berne 2010, n. 2508 ; Spühler, Basler Kommentar, Schweizerische Zivilprozessordnung, 3e éd. Bâle 2017, n. 26 ad art. 319 CPC).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(Jeandin, CPC commenté, nn. 5 et 6 ad art. 320 CPC ; Corboz et alii, Commentaire de la LTF,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t>- 8 - 3.</w:t>
      </w:r>
    </w:p>
    <w:p>
      <w:r>
        <w:rPr>
          <w:b/>
        </w:rPr>
        <w:t>E. 2</w:t>
      </w:r>
    </w:p>
    <w:p>
      <w:r>
        <w:t>Par prononcé du 2 février 2018, le Président a accordé à A.D.________, dans la cause en violence, menaces ou harcèlement qui l’opposait à B.D.________, le bénéfice de l’assistance judiciaire avec effet au 26 janvier 2018 dans la mesure suivante : - exonération d’avances ; - exonération des frais judiciaires ; - assistance d’un conseil d’office en la personne de Me Q.________. A.D.________ avait précédemment mandaté Me Q.________ dans le cadre de ses difficultés conjugales et celui-ci était intervenu dès l’automne 2017 dans la procédure en institution d’une curatelle ouverte en faveur de B.D.________.</w:t>
      </w:r>
    </w:p>
    <w:p>
      <w:r>
        <w:rPr>
          <w:b/>
        </w:rPr>
        <w:t>E. 2.2</w:t>
      </w:r>
    </w:p>
    <w:p>
      <w:r>
        <w:t>; CREC 23 janvier 2015/44 consid. 5b ; Juge délégué CACI 18 août 2014/436 consid. 3).</w:t>
      </w:r>
    </w:p>
    <w:p>
      <w:r>
        <w:rPr>
          <w:b/>
        </w:rPr>
        <w:t>E. 3</w:t>
      </w:r>
    </w:p>
    <w:p>
      <w:r>
        <w:t>A l’audience du 6 mars 2018, les parties ont signé une convention, ratifiée séance tenante pour valoir ordonnance de mesures provisionnelles, dont la teneur est la suivante : « I. B.D.________ s’engage à ne pas prendre contact, de quelque manière que ce soit, avec A.D.________, sous la menace de la</w:t>
      </w:r>
    </w:p>
    <w:p>
      <w:r>
        <w:t>- 4 - peine d’amende prévue par l’art. 292 CP, qui réprime une insoumission à une décision judiciaire. II. B.D.________ s’engage à ne pas s’approcher du [...] ou de tout autre lieu de résidence d’A.D.________, à moins de vingt mètres, sous la sous la menace de la peine d’amende prévue par l’art. 292 CP, qui réprime une insoumission à une décision judiciaire. III. Les parties conviennent que les mesures provisionnelles resteront valables dans un délai de deux semaines au plus après décision exécutoire sur le fond. Cette audience a duré 25 minutes.</w:t>
      </w:r>
    </w:p>
    <w:p>
      <w:r>
        <w:rPr>
          <w:b/>
        </w:rPr>
        <w:t>E. 3.1</w:t>
      </w:r>
    </w:p>
    <w:p>
      <w:r>
        <w:t>Le recourant se prévaut d’une violation de son droit d'être entendu, en lien avec la motivation déficiente de la décision, qui devrait ainsi être annulée.</w:t>
      </w:r>
    </w:p>
    <w:p>
      <w:r>
        <w:rPr>
          <w:b/>
        </w:rPr>
        <w:t>E. 3.2</w:t>
      </w:r>
    </w:p>
    <w:p>
      <w:r>
        <w:t>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66_726/2010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w:t>
      </w:r>
    </w:p>
    <w:p>
      <w:r>
        <w:t>- 9 -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Ce moyen doit par conséquent être examiné en premier lieu (ATF 124 I 49, SJ 1998 403) et avec un plein pouvoir d'examen (ATF 127 III 193 consid. 3 et la jurisprudence citée).</w:t>
      </w:r>
    </w:p>
    <w:p>
      <w:r>
        <w:rPr>
          <w:b/>
        </w:rPr>
        <w:t>E. 3.3</w:t>
      </w:r>
    </w:p>
    <w:p>
      <w:r>
        <w:t>En l’espèce, on ne discerne aucun défaut de motivation constitutif d'une violation du droit d'être entendu : le premier juge a circonscrit les opérations jugées excessives en les désignant et en indiquant à quelle hauteur elles devaient selon lui être réduites et a motivé cette réduction par la complexité toute relative de la cause. Cette motivation, bien que brève, était suffisante au recourant pour l'attaquer utilement. Aucune violation du droit d’être entendu du recourant, en relation avec l’obligation pour les autorités de motiver leurs décisions, ne peut dès lors être reprochée au premier juge, de sorte que le recours sera rejeté sur ce point.</w:t>
      </w:r>
    </w:p>
    <w:p>
      <w:r>
        <w:rPr>
          <w:b/>
        </w:rPr>
        <w:t>E. 4</w:t>
      </w:r>
    </w:p>
    <w:p>
      <w:r>
        <w:t>Le même jour, le conseil d’office d’A.D.________ a produit une liste détaillée de ses opérations et débours et a indiqué qu’il avait consacré 12 heures et 12 minutes à la cause. La teneur de ce décompte est la suivante : Date Libellé Durée Débours 26.01.2018 analyse du dossier (RH) 1 26.01.2018 recherches juridiques (RH) 1 26.01.2018 élaboration d’une stratégie (RH) 0,5 26.01.2018 rédaction d’une requête de MPROV (RH) 2,5 26.01.2018 téléphone à la cliente (RH) 0,2 26.01.2018 téléphone à la cliente (RH) 0,4 26.01.2018 correspondance à la cliente (RH) 0,2 26.01.2018 courriel Tribunal (RH) 0,2 26.01.2018 courrier A Tribunal (RH) 0,2 1 26.01.2018 correspondance à la cliente (RH) 0,2 30.01.2018 téléphone à la cliente (RH) 0,3 26.01.2018 analyse dossier (RH) 0,2 01.02.2018 entretien client (RH) 1 01.02.2018 rédaction d’une requête AJ (RH) 0,3 01.02.2018 courrier A Tribunal (RH) 0,2 1 02.02.2018 correspondance à la cliente (RH) 0,2 1 02.02.2018 courrier A Office des curatelles (RH) 0,3 1 02.02.2018 correspondance à la cliente (RH) 0,2 06.02.2018 téléphone à la cliente (RH) 0,3 07.02.2018 correspondance à la cliente (RH) 0,2 07.02.2018 téléphone à la cliente (RH) 0,2</w:t>
      </w:r>
    </w:p>
    <w:p>
      <w:r>
        <w:t>- 5 - 02.03.2018 préparation entretien client (RH) 0,3 02.03.2018 entretien client (RH) 0,6 06.03.2018 préparation audience du jour (RH) 0,5 06.03.2018 vacations (RH) 120 06.03.2018 audience (RH) 0,5 06.03.2018 entretien avec la cliente (RH) 0,2 06.03.2018 préparation de la liste des opérations (RH) 0,3 total 12,2 total frais 124 CHF En d roit : 1.</w:t>
      </w:r>
    </w:p>
    <w:p>
      <w:r>
        <w:rPr>
          <w:b/>
        </w:rPr>
        <w:t>E. 4.1</w:t>
      </w:r>
    </w:p>
    <w:p>
      <w:r>
        <w:t>Le recourant conteste ensuite la réduction, à hauteur de 4 heures et 24 minutes (4,4 heures), du temps qu’il a consacré aux opérations effectuées entre le 26 janvier et le 6 mars 2018. Il fait valoir que la liste des opérations, totalisant 12 heures et 12 minutes (12,2 heures), a été établie de manière consciencieuse et que les opérations correspondraient à l’intégralité du temps qu’il a effectivement consacré au mandat d’office.</w:t>
      </w:r>
    </w:p>
    <w:p>
      <w:r>
        <w:rPr>
          <w:b/>
        </w:rPr>
        <w:t>E. 4.2</w:t>
      </w:r>
    </w:p>
    <w:p>
      <w:r>
        <w:t>Aux termes de l'art. 122 al. 1 let. a CPC, le conseil juridique commis d'office est rémunéré équitablement par le canton. Cette notion</w:t>
      </w:r>
    </w:p>
    <w:p>
      <w:r>
        <w:t>- 10 - aux contours imprécis doit permettre aux cantons de fixer, sur la base d'un large pouvoir d'appréciation (TF 6B_730/2014 du 2 mars 2015 consid. 3.2, publié aux ATF 141 I 124 ; 5P.291/2006 du 13 septembre 2006), le montant de l'indemnité allouée au conseil d'office dans les limites de leur tarif des frais (art. 96 CPC) (Rüegg, Basler Kommentar, Schweizerische Zivilprozessordnung,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sur l'assistance judiciaire en matière civile du 7 décembre 2010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w:t>
      </w:r>
    </w:p>
    <w:p>
      <w:r>
        <w:t>- 11 - superflues. L'avocat d'office ne saurait en effet être rétribué pour des activités qui ne sont pas nécessaires à la défense des intérêts du bénéficiaire de l'assistance judiciaire ou qui consistent en un soutien moral (TF 5D_149/2016 du 30 janvier 2017 consid. 3.3 ; ATF 109 Ia 2017 consid. 3b ; CREC 25 janvier 2013/29, JdT 2013 II 35 ss). S'agissant d’un pur travail de secrétariat, le temps indiqué pour la rédaction de mémos ou d'avis de transmission ne peut être pris en compte à titre d'activité déployée par l'avocat (CREC 6 juin 2017/204 consid. 2.2 ; CREC 14 septembre 2015/332 consid. 3.2). Il en va de même de toutes les prises de connaissance des courriers ou courriels qui n'impliquent qu'une lecture cursive et brève (CREC 6 juin 2017/204 consid.</w:t>
      </w:r>
    </w:p>
    <w:p>
      <w:r>
        <w:rPr>
          <w:b/>
        </w:rPr>
        <w:t>E. 4.3</w:t>
      </w:r>
    </w:p>
    <w:p>
      <w:r>
        <w:t>En l’espèce, le premier juge a réduit certaines opérations qu’il a jugées excessives au vu de la complexité relative de la cause, à concurrence d’un total de 4,4 heures, sur un total invoqué de 12,2 heures. Il s’agit des opérations suivantes : 26 janvier 2018 : Le recourant déclare avoir consacré 1 heure à l'analyse du dossier, 1 heure à des recherches juridiques, 0,5 heure à l'élaboration d'une stratégie, 2,5 heure à la rédaction d'une requête de mesures provisionnelles, 0,2 heure puis à nouveau 0,4 heure à deux téléphones avec la cliente, 0,2 heure à une correspondance à la cliente, 0,2 heure à un courriel au tribunal et 0,2 heure à un courrier A au tribunal, 0,2 heure à une nouvelle correspondance avec la cliente et enfin à nouveau 0,2 heure à l’analyse du dossier. A la date du 26 janvier 2018, le recourant a ainsi consacré en tout 6,6 heures à la prise de connaissance de la problématique qui a débouché sur le dépôt d'une requête de mesures superprovisionnelles et provisionnelles de 9 pages, dont une page de garde et une page « droit » se limitant à invoquer sur 2 lignes les art. 28 ss</w:t>
      </w:r>
    </w:p>
    <w:p>
      <w:r>
        <w:t>- 12 - CC ainsi que les art. 261 ss CPC et à réserver « tout autre moyen ». Comme l’a retenu le premier juge, la cause était effectivement dénuée de toute complexité en droit et le travail du conseil d'office, qui connaissait déjà la problématique conjugale et était déjà intervenu par la voie judiciaire aux côtés d’A.D.________ dans le cadre des mesures provisionnelles de protection instituées en faveur de son mari, a essentiellement consisté à circonscrire les faits, à réunir les pièces les documentant et à les présenter de façon systématique au Président du tribunal d’arrondissement. Ces opérations n’impliquent guère plus de quelques heures de travail et en aucun cas les 6,6 heures invoquées, comprenant au demeurant 1 heure de recherches juridiques, 1 heure d'analyse du dossier et 0,5 heure d'élaboration d'une stratégie, qui apparaissent inutiles au vu de l'absence de complexité de la cause et de la connaissance préalablement acquise du dossier. On relèvera au surplus que le nombre de communications avec la cliente à la seule date du 26 janvier 2018 est également excessif et justifie une réduction supplémentaire fondée sur l'exigence que le conseil rationnalise celles-ci, à hauteur de 0,4 heure correspondant à une correspondance et un téléphone de 0,2 heure chacun. En définitive, la réduction opérée par le premier juge, de 2,5 heures sur un total de 6,6 heures, ne prête donc pas le flanc à la critique, si ce n’est qu’elle aurait au contraire dû être portée à 2,9 heures. 1er février 2018 : Le recourant invoque 1 heure d'entretien avec la cliente, 0,3 heure pour la rédaction de la requête d’assistance judiciaire et 0,2 heure pour un courrier au tribunal, soit un total de 1,5 heures.</w:t>
      </w:r>
    </w:p>
    <w:p>
      <w:r>
        <w:t>- 13 - La réduction de 0,5 heure opérée par le premier juge n'a là non plus rien de critiquable si l'on observe qu'un entretien d'une heure avec la cliente après que la procédure a été déposée n'apparaît pas justifié. 2 mars 2018 : Le recourant invoque la préparation d’une conférence avec la cliente, par 0,3 heure, puis la conférence elle-même, par 0,6 heure, soit un total de 0,9 heure consacrée à un entretien avec la cliente, postérieur à la requête, mais antérieur à l'audience du 6 mars suivant, à laquelle le conseil a encore consacré le jour même 0,5 heure de préparation. Le premier juge a réduit les opérations du 2 mars 2018 de 0,6 heure, ce qui apparaît légèrement excessif : eu égard à la connaissance préalable du dossier et à l'absence de complexité de la cause, le travail de « préparation entretien client », comptabilisé à hauteur de 0,3 heure, ne se justifiait pas, tandis que l'entretien lui-même, décompté à raison de 0,6 heure était admissible, sous réserve de ce qui va suivre s’agissant de l’activité déployée le 6 mars 2018. A ce stade, les opérations du 2 mars 2018 justifiaient une réduction de 0,3 heure, non du double.</w:t>
      </w:r>
    </w:p>
    <w:p>
      <w:r>
        <w:rPr>
          <w:b/>
        </w:rPr>
        <w:t>E. 6</w:t>
      </w:r>
    </w:p>
    <w:p>
      <w:r>
        <w:t>mars 2018 : Le conseil invoque 0,5 heure de préparation d'audience, 0,5 heure de participation à l'audience (qui a duré 25 minutes), un entretien avec la cliente de 0,2 heure et enfin la préparation de la liste des opérations, par 0,3 heure, soit un total de 1,5 heure. Le premier juge a réduit ces opérations de 0,8 heure, ce qui apparaît légèrement excessif : la préparation de l'audience de 0,5 heure est admissible ; la participation à l'audience, qui a duré 25 minutes, doit être prise en compte à raison de 0,4</w:t>
      </w:r>
    </w:p>
    <w:p>
      <w:r>
        <w:t>- 14 - heure. Par contre, l'entretien de 0,2 heure avec la cliente à la fin de l'audience ou juste avant celle-ci n'est pas admissible eu égard à celui qui s'est tenu à la date du 2 mars précédent, étant rappelé que le conseil d'office n'a pas à être défrayé pour un rôle s'apparentant à du soutien moral. En outre, la préparation de la liste des opérations, par 0,3 heure, ne constitue pas du travail intellectuel d'avocat, mais, au mieux de secrétariat, si la liste n'est pas purement et simplement établie au moyen d'un programme de comptabilisation informatique, de sorte qu'elle n'a pas à être rémunérée au titre de l'assistance judiciaire. Les opérations du 6 mars 2018 justifiaient ainsi une réduction limitée à 0,6 heure. En définitive, si certaines opérations ont été réduites de façon excessive (0,3 heure le 2 mars 2018 et 0,2 heure le 6 mars 2018), d'autres ne l'ont pas été suffisamment (0,4 heure le 26 janvier 2018), compte tenu de la complexité modeste de la cause, comme l'a retenu à juste titre le premier juge, mais également de la connaissance préalable du dossier par le conseil. La différence, minime, de 0,1 heure ne justifie pas de réformer la décision attaquée, compte tenu du pouvoir d'appréciation revenant au premier juge en la matière et si l'on considère, au surplus, que les opérations invoquées à la date du 2 février 2018 (une correspondance à la cliente de 0,2 heure, un courrier à I'Office des curatelles et tutelles professionnelles de 0,3 heure ainsi qu’une nouvelle correspondance avec la cliente de 0,2 heure , soit 0,7 heure en tout) auraient également pu être réduites de 0,2 heure, voire de 0,4 heure. En effet, dès lors que le conseil avait communiqué la veille avec la cliente et que l'une des correspondances, à tout le moins, n'a pu consister qu'en un simple avis de transmission de la copie du courrier adressé à l'office précité, cette opération ne constitue pas du travail d'avocat, mais de secrétariat, inclus dans les frais généraux couverts par le tarif horaire de l’avocat. Il s'ensuit que l'indemnité allouée par le premier juge à hauteur de 1'645 fr. 65, correspondant à 7,8 heures de travail d'avocat à 180 fr. de l'heure (soit 1'404 fr.), plus débours de 124 fr. (y compris un</w:t>
      </w:r>
    </w:p>
    <w:p>
      <w:r>
        <w:t>- 15 - forfait de vacation par 120 fr.), TVA par 7,7 % sur le tout en sus (117 fr. 65), indemnise correctement les opérations nécessaires à l'exécution du mandat d'office. 5. 5.1 Le recours, manifestement infondé, doit dès lors être rejeté selon le mode procédural de l’art. 322 al. 1 CPC et la décision entreprise confirmée. 5.2 Les frais judiciaires de deuxième instance, arrêtés à 100 fr. (art. 69 al. 1 TFJC [tarif des frais judiciaires civils du 28 septembre 2010 ; RSV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Q.________. IV. L’arrêt est exécutoire. Le président : La greffière :</w:t>
      </w:r>
    </w:p>
    <w:p>
      <w:r>
        <w:t>- 16 - Du L'arrêt qui précède, dont la rédaction a été approuvée à huis clos, est notifié à : - Me Q.________, - A.D.________.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