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PP16.002482 vom 3. April 2017</w:t>
      </w:r>
    </w:p>
    <w:p>
      <w:r>
        <w:t>VD Tribunal cantonal, 2017-04-03, FR</w:t>
      </w:r>
    </w:p>
    <w:p>
      <w:r>
        <w:rPr>
          <w:b/>
        </w:rPr>
        <w:t xml:space="preserve">Quelle: </w:t>
      </w:r>
      <w:r>
        <w:t>https://mcp.opencaselaw.ch/entscheid/vd_gerichte_PP16.002482</w:t>
      </w:r>
    </w:p>
    <w:p>
      <w:r>
        <w:t>FR: VD_GERICHTE PP16.002482 du 3 avril 2017</w:t>
      </w:r>
    </w:p>
    <w:p>
      <w:r>
        <w:t>IT: VD_GERICHTE PP16.002482 del 3 aprile 2017</w:t>
      </w:r>
    </w:p>
    <w:p>
      <w:pPr>
        <w:pStyle w:val="Heading2"/>
      </w:pPr>
      <w:r>
        <w:t>Erwägungen</w:t>
      </w:r>
    </w:p>
    <w:p>
      <w:r>
        <w:rPr>
          <w:b/>
        </w:rPr>
        <w:t>E. 16</w:t>
      </w:r>
    </w:p>
    <w:p>
      <w:r>
        <w:t>décembre 2013 consid. 3.2, publié in SJ 2014 I 196). Sous réserve de l’art. 317 al. 1 CPC, la procédure d’appel ne sert dès lors en principe pas à compléter la procédure de première instance, mais à examiner et, le cas échéant, à corriger le jugement de première instance, sur la base des griefs concrètement articulés (ATF 142 III 413 consid. 2.2.2, SJ 2017 I 16).</w:t>
      </w:r>
    </w:p>
    <w:p>
      <w:r>
        <w:t>- 24 - S’agissant des faits et moyens de preuve nouveaux,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La production de faux novas peut cependant être admise lorsque le plaideur a omis de les invoquer en première instance, en raison du comportement procédural de l'autre partie (TF 5A_621/2012 du 20 mars 2013 consid. 5.4) ou lorsqu'une thématique déterminée a été soulevée pour la première fois en appel, de sorte que la partie adverse n'avait pas à invoquer des faits ou offres de preuve en relation avec cet élément en première instance (TF 4A_305/2012 du 6 février 2013, publié in RSPC 2013 p. 254 consid. 3.3). 2.3.3.2 En l’espèce, l’appelant a produit trois pièces (P. 201 à 203) à l’appui de son appel. La requête de mesures superprovisionnelles et provisionnelles déposée par ses soins auprès de la Chambre patrimoniale cantonale le 29 juillet 2016 (P. 201) ainsi que la réponse à celle-ci du 14 octobre 2016 de H.________, A.________ SA, N.________ SA et X.________ (P. 202) sont recevables dès lors qu’il s’agit d’écritures postérieures à la clôture de l’instruction du premier juge – intervenue lors de l’envoi du dispositif le 20 juillet 2016 – déposées dans le cadre d’une procédure distincte. En ce qui concerne la pièce 203, elle est constituée d’une partie des pièces produites sous bordereau par l’appelant à l’appui de sa requête de mesures superprovisionnelles et provisionnelles précitée et il convient d’examiner la recevabilité de chacune d’entre elles. Les pièces 203/10, 203/28, 203/30, 203/32, 203/34, 203/43, 203/44, 203/45, 203/46, 203/47, 203/48, 203/49, 203/58, 203/59 et</w:t>
      </w:r>
    </w:p>
    <w:p>
      <w:r>
        <w:t>- 25 - 203/60, qui figurent au dossier de première instance, sont recevables et ont été relatées dans l’état de fait dans la mesure de leur pertinence. S’agissant de la pièce 203/26, soit un projet de « Kaufvertrag » entre N.________ SA (« Verkäuferin ») et C.________ SA (« Käuferin »), non daté et non signé par les représentants de ces sociétés, elle figure au dossier de première instance (P. 113 du bordereau du 2 mai 2016 produit par les intimés), sous une forme différente quant à la mise en page et la police d’écriture, et de manière incomplète dans la mesure où le texte figurant en haut de la 2e page est coupé et où il manque manifestement la dernière page. Dès lors que le titre figurant sous pièce 203/26 pouvait à l’évidence être produit devant le premier juge, il est irrecevable en appel et seul celui figurant au dossier de première instance sera pris en compte. Quant aux pièces 203/5 (document portant sur les biens immobiliers d’A.________ SA, daté du 13 avril 2010), 203/21 (document intitulé « L’ordre chronologique des événements », daté du 13 mai 2013), 203/22 (document intitulé « L’ordre chronologique des transactions financières », daté du 13 mai 2013), 203/23 (lot d’avis de différentes transactions bancaires effectuées entre 2009 et 2013), 203/24 (document intitulé « Constitution des sociétés à Neuchâtel », daté du 13 mai 2013), 203/25 (courriel de [...] à l’appelant du 8 mai 2013), 203/31 (échange de courriels entre l’intimé H.________ et [...] des 15 et 16 janvier 2013), 203/33 (convention entre l’intimé H.________ et l’appelant du 13 mai 2013), 203/42 (procès-verbal d’audition de confrontation entre l’intimé H.________ et l’appelant du 16 mars 2016), 203/50 (plainte pénale additionnelle de l’appelant et de C.________ SA du 20 juin 2016), 203/51 (plainte pénale additionnelle de l’appelant du 4 juillet 2016), 203/52 (convention conclue entre C.________ SA et l’appelant le 8 juillet 2016), 203/53 (courrier du conseil de l’appelant et de C.________ SA au Ministère public central du 26 mai 2015), 203/54a (rapport de l’organe de révision d’A.________ SA sur les comptes au 31 décembre 2010, daté du 3 mai 2012), 203/54b (comptes annuels 2011 d’A.________ SA, datés du 18 décembre 2012) et 203/57 (« attestation » signée par l’intimé H.________ le 2 janvier 2014), toutes antérieures à la clôture de l’instruction du premier</w:t>
      </w:r>
    </w:p>
    <w:p>
      <w:r>
        <w:t>- 26 - juge, elles sont irrecevables, l’appelant n’exposant au demeurant pas pour quelles raisons ces pièces ne pouvaient pas être invoquées ou produites en première instance en faisant preuve de la diligence requise. Il en va de même de la pièce 203/27, soit un « Agreement » entre l’appelant, C.________ SA, l’intimé H.________, N.________ SA, D.________ et l’intimée A.________ SA, non daté, ni signé par aucune des parties. Les pièces 203/55 et 203/56, soit des extraits du Registre du commerce concernant respectivement les sociétés [...] et [...], ne figurent pas au dossier de première instance mais constituent des faits notoires dont le juge peut tenir compte d’office. Elles ne sont en l’occurrence pas pertinentes pour l’issue du litige. Enfin, pour ce qui est de la pièce 203/61, s’agissant d’indications figurant au Registre foncier, il y a lieu de considérer qu’il s’agit de faits notoires (JdT 2014 III 13 consid. 2c). 3. 3.1 3.1.1 Selon l’art. 699 al. 3 CO, un ou plusieurs actionnaires représentant ensemble 10% au moins du capital-actions peuvent requérir la convocation de l’assemblée générale des actionnaires de la société anonyme (1re phrase) ; des actionnaires qui représentent des actions totalisant une valeur nominale d’un million de francs peuvent requérir l’inscription d’un objet à l’ordre du jour (2e phrase) ; la convocation et l’inscription d’un objet à l’ordre du jour doivent être requises par écrit en indiquant les objets de discussion et les propositions (3e phrase). La convocation d’une assemblée générale conformément à cette disposition comprend également sa tenue (TF 4A_507/2014 et 4D_73/2014 précité consid. 5.4 et la référence citée). Contrairement à la lettre de la loi, il y a lieu d’admettre que les actionnaires qui sont en droit de requérir la convocation de l’assemblée générale sont aussi légitimés à requérir l’inscription d’un objet à l’ordre du jour. Un tel droit existe par conséquent pour les actionnaires représentant ensemble 10% du capital-actions ou</w:t>
      </w:r>
    </w:p>
    <w:p>
      <w:r>
        <w:t>- 27 - des actions totalisant une valeur nominale d’un million de francs (ATF 142 III 16 précité consid. 2.3 et les références citées). Si le conseil d’administration ne donne pas suite à cette requête dans un délai convenable, la convocation est ordonnée par le juge, à la demande des requérants (art. 699 al. 4 CO). Il appartient au requérant de rendre vraisemblable sa qualité d’actionnaire, le fait qu’il détient le 10% du capital-actions et qu’il a déjà sollicité la convocation auprès du conseil d’administration (TF 4A_507/2014 et 4D_73/2014 précité consid. 5.6 et les références citées). Lors de l’examen d’une requête en convocation fondée sur l’art. 699 al. 4 CO, le juge saisi n’examine que les questions formelles, à savoir si le ou les requérants sont actionnaires, si les conditions formelles de l’art. 699 al. 3, 1re phrase, CO sont remplies et si, dans les faits, une requête de convocation a été adressée au conseil d’administration, lequel n’y aurait pas donné suite dans un délai convenable. Le juge ne procède à aucun examen matériel des requêtes de convocation et d’inscription à l’ordre du jour et ne doit pas non plus décider si les décisions pour lesquelles l’assemblée est convoquée seront valables, ces questions n’étant examinées que dans le cadre d’une éventuelle action en annulation et/ou en nullité (art. 706 ss CO) ouverte contre les décisions prises lors de l’assemblée. Toutefois, l’interdiction de l’abus de droit selon l’art. 2 al. 2 CC s’applique en lien avec l’exercice du droit à la convocation et à l’inscription d’un objet à l’ordre du jour, l’abus manifeste de ce droit n’étant pas protégé (ATF 142 III 16 précité consid. 3.1 et les références citées). Le juge ne peut entrer en matière sur la requête de l’actionnaire que si celui-ci a encore un intérêt à la tenue d’une assemblée générale. S’il constate que le conseil d’administration a finalement procédé à la convocation d’une assemblée qui rend sans objet la requête de l’actionnaire, il ne donnera pas suite à sa demande. Autrement dit, l’intérêt de l’actionnaire requérant disparaît en règle générale lorsque sa prétention (soit son droit d’obtenir la convocation et la tenue d’une</w:t>
      </w:r>
    </w:p>
    <w:p>
      <w:r>
        <w:t>- 28 - assemblée générale) a été satisfaite (TF 4A_507/2014 et 4D_73/2014 précité consid. 5.6.1 et la référence citée). 3.1.2 Lorsque la convocation à l’assemblée générale n'atteint pas tous les actionnaires, se pose la question de la nullité (art. 706b CO) ou de l'annulabilité (art. 706-706a CO) des décisions prises à cette occasion. Selon Schott (Schott, Aktienrechtliche Anfechtbarkeit und Nichtigkeit von Generalversammlungsbeschlüssen wegen Verfahrensmängeln, thèse Zürich 2009, p. 140, n. 8), il s'agit d’un cas de nullité lorsque l’absence de convocation d’un actionnaire est intervenue en connaissance de cause de la part de la société et aboutit à une décision factice (« Scheinbeschluss »). Pour cet auteur, la nullité peut être invoquée dans le cadre d'une action formatrice (« Beschlussgestaltungsklage » ; Schott, op. cit., pp. 313 ss), laquelle est de façon générale soumise aux mêmes exigences que l’action en annulation des art. 706-706a CO, sous réserve du délai pour agir dans le cas où la nullité est invoquée. Toutefois, même dans ce cas, l'action en nullité est soumise à des limites temporelles résultant de l'interdiction de l'abus de droit (Schott, op. cit., p. 62, nn. 11 ss et les références citées, ainsi que p. 319, n. 6). A l’inverse, si l’absence de convocation d’un actionnaire est intervenue de manière accidentelle, sans que la société en ait connaissance, les décisions prises à cette occasion en général sont annulables au sens des art. 706-706a CO (Schott, op. cit. p. 141, nn. 9 ss). L’art. 706a al. 1 CO dispose que l’action en annulation s’éteint si elle n’est pas exercée au plus tard dans les deux mois qui suivent l’assemblée générale. Il s’agit d’un délai de péremption (Meier-Hayoz/Forstmoser, Droit suisse des sociétés, Berne 2015, p. 555, n. 214 ; Peter/Cavadini, Commentaire romand, Code des obligations II, Bâle 2008, n. 3 ad art. 706a CO). Le délai expire le jour qui, deux mois plus tard, correspond par son quantième au jour de l’assemblée générale. Si l’échéance du délai tombe sur un jour qui n’a pas de quantième correspondant durant le mois concerné, il correspond au dernier jour du mois en question (art. 77 al. 1 ch. 3 CO). S’il échoit lors d’un jour férié, le délai expire le premier jour non férié qui suit conformément à l’art. 78 al. 1 CO (Peter/Cavadini, op. cit., n.</w:t>
      </w:r>
    </w:p>
    <w:p>
      <w:r>
        <w:t>- 29 - 2 ad art. 706a CO). L’absence de convocation accidentelle peut conduire à des situations insatisfaisantes lorsque l’actionnaire non convoqué n’a pas connaissance en temps opportun de la tenue de l’assemblée générale et que par conséquent, il est impossible pour lui d’intenter une action en annulation dans le délai de deux mois. Selon Schott (Schott, op. cit., p. 141, n. 11), dès lors qu’il est du devoir du conseil d’administration d’informer les actionnaires non convoqués des décisions prises, une telle situation peut entraîner une action en dommages-intérêts au sens des art. 754 ss CO. 3.2 3.2.1 En l’espèce, il ressort de l'état de fait de la décision attaquée, que l'appelant ne conteste pas sous cet angle, que ce n'est que le 27 mai 2015 qu'il a critiqué le fait de ne pas avoir été convoqué aux assemblées générales ordinaires destinées à approuver les comptes et la gestion des exercices 2013 et 2014, ni à celle, extraordinaire, du 19 décembre 2014, et qu’il a requis la convocation d'une assemblée générale. Il faut donc admettre que dès le 27 mai 2015 à tout le moins, l'appelant estimait que des informalités avaient été commises quant à la convocation des assemblées générales de l'intimée A.________ SA dont il se prévaut de l'actionnariat. Or ce n'est que le 12 janvier 2016, soit plus de sept mois après avoir eu connaissance de façon certaine de l'informalité invoquée, que l'appelant a ouvert action en convocation de l'assemblée générale, ce qui est incompatible avec le respect des règles de la bonne foi, ce d’autant plus qu'en sa qualité d'actionnaire et précédent administrateur de l'intimée A.________ SA, l'appelant devait savoir, ou aurait pu se rendre compte, antérieurement au 27 mai 2015, qu'il aurait dû faire l'objet de convocations aux assemblées générales ordinaires dont la tenue s'impose annuellement, dans les six mois qui suivent la clôture de l’exercice, conformément à l'art. 699 al. 2 CO. Dans ces conditions, il est douteux que l'appelant soit encore fondé à agir en convocation de l'assemblée générale en se fondant sur la nullité résultant d'une invalidité formelle dans le processus de convocation. Cette question peut cependant ouverte au vu de ce qui suit.</w:t>
      </w:r>
    </w:p>
    <w:p>
      <w:r>
        <w:t>- 30 - 3.2.2 L'appelant se plaint de ce que le premier juge lui aurait arbitrairement dénié la qualité d'actionnaire, tant sous l'angle de la constatation erronée des faits que sous l'angle du droit. Toutefois, dans la mesure où l'appelant ne prétend pas avoir agi au fond pour faire reconnaître ses droits sur les actions litigieuses et où le contraire ne ressort pas davantage du dossier de première instance, il faut admettre que le premier juge était fondé à se fier au registre des actionnaires du 2 février 2014 – dont le contenu jouit d'une présomption d'exactitude certes réfragable (ATF 137 III 460, JdT 2012 II 178 consid. 3.2), mais qui n'a en l'occurrence pas été renversée – pour retenir, au degré de la vraisemblance, que l’appelant ne pouvait pas prétendre être actionnaire de l’intimée A.________ SA. En effet, pour ce qui est des actions nos 501 à 1000 (certificat d’actions n° 2), l’appelant ne les a jamais détenues et elles apparaissent être la propriété de N.________ SA selon le contrat de cession d’actions du 22 septembre 2014, ce que l’intéressé ne remet d’ailleurs pas en cause dans le cadre de la présente procédure. Quant aux actions nos 1001 à 1500 (certificat d’actions n° 3), il ressort du registre des actionnaires d’A.________ SA du 2 février 2014 que N.________ SA en est propriétaire. D’ailleurs, par arrêt du 9 juillet 2014, devenu définitif et exécutoire, la Cour d’appel civile du Tribunal cantonal de Neuchâtel a rejeté la requête de mesures provisionnelles déposée le 12 mars 2014 par C.________ SA, tendant à faire interdire à N.________ SA d’exercer les droits sociaux et patrimoniaux attachés auxdites actions ainsi que de les transférer ou de les engager. Cette autorité a considéré que C.________ SA n’avait pas renversé, sous l’angle de la vraisemblance, les éléments probants ressortant du registre des actionnaires au 2 février 2014 quant à la titularité des actions nos 1001 à 1500, relevant que son examen ne préjugeait en rien du sort à réserver à cette question dans le cadre d’une éventuelle future procédure ordinaire, procédure dont il ne résulte pas du dossier qu’elle ait été intentée. Partant, au degré de la</w:t>
      </w:r>
    </w:p>
    <w:p>
      <w:r>
        <w:t>- 31 - vraisemblance, l’appelant ne peut pas prétendre être actionnaire d’A.________ SA sur la base des actions nos 1001 à 1500. S’agissant des actions nos 1 à 500 (certificat d’actions n° 1), si l’appelant détient ledit certificat d’actions daté du « 12.12.011 » (sic) et était inscrit sur les registres des actionnaires des 12 décembre 2011 et 27 septembre 2012 comme détenteur de celles-ci, il ressort du contrat de vente du 17 janvier 2013 qu’il les a vendues à C.________ SA. Par la suite, selon le contrat de vente du 13 mai 2013, cette société a vendu à N.________ SA les actions nos 1 à 500, étant précisé que cet acte a notamment été signé par l’appelant en qualité d’un des trois représentants de la société venderesse. Si l’appelant allègue avoir été « piégé » lorsqu’il a signé ce contrat, dont la forme définitive n’aurait pas correspondu au projet que son précédent conseil avait préparé dans la mesure où les qualités d’acheteuse et de venderesse des sociétés précitées auraient été astucieusement interverties par l’intimé H.________, il ne ressort pas du dossier qu’une action ait été introduite pour contester la validité de ce contrat, ni pour faire annuler la vente ou pour faire reconnaître la propriété de C.________ SA ou de l’appelant sur ces actions. Compte tenu de l’acquisition des actions nos 1 à 500 par N.________ SA conformément au contrat du 13 mai 2013, on cerne mal pour quelles raisons C.________ SA figurait toujours sur le registre des actions du 2 février 2014 comme titulaire desdites actions. On relèvera que si un projet de « Kaufvertrag » entre N.________ SA (« Verkäuferin ») et C.________ SA (« Käuferin ») figure au dossier, cet acte n’est toutefois ni daté, ni signé et apparaît incomplet. L’appelant ne peut donc pas se prévaloir de ce contrat pour prétendre à la propriété des actions nos 1 à 500, ce d’autant plus que la rubrique « Kaufgegenstand » (objet de la vente) mentionne les actions nos 1001 à 1500 du certificat d’actions n° 1, alors que ledit certificat a trait aux actions nos 1 à 500. Quoi qu’il en soit, par décision du 25 septembre 2014, l’intimé H.________, en sa qualité d’administrateur de l’intimée A.________ SA, compte tenu de la cession de 500 actions par C.________ SA à N.________ SA intervenue le 13 mai 2013, a procédé à l’inscription de N.________ SA au registre des actionnaires pour</w:t>
      </w:r>
    </w:p>
    <w:p>
      <w:r>
        <w:t>- 32 - 500 actions, a annulé le certificat d’actions n° 1 au nom de C.________ SA et a émis un nouveau certificat d’actions n° 4 pour 500 actions au nom de N.________ SA. Il ne ressort pas du dossier que l’appelant ou C.________ SA aient contesté cette décision ou qu’ils aient introduit une action en justice pour faire modifier l’inscription au registre des actionnaires. Partant, il apparaît vraisemblable que N.________ SA est titulaire des actions nos 1 à 500 incorporées dans le certificat d’actions n° 4, le certificat n° 1 ayant été annulé. Dans ces conditions, la convention conclue le 1er mai 2015 entre l’appelant et C.________ SA, tendant à faire annuler, avec effet rétroactif au 17 janvier 2013, le contrat de vente conclu à cette date par ceux-ci et portant sur les actions nos 1 à 500, si bien que ces actions seraient restées propriété de l’appelant, ne peut déployer aucun effet dès lors qu’au moment de la conclusion de cet accord, N.________ SA était, au degré de la vraisemblance, propriétaire des actions nos 1 à 500 conformément au contrat du 13 mai 2013 et qu’aucune cession desdites actions ne pouvait intervenir sans son accord. Le moyen selon lequel la qualité d’actionnaire aurait été à tort niée à l’appelant est dès lors infondé. 4. 4.1 En définitive, l'appel doit être rejeté dans la mesure où il est recevable selon la procédure de l’art. 312 al. 1 in fine CPC et la décision entreprise confirmée. 4.2 Selon l’art. 106 al. 1 CPC, les frais – qui comprennent selon l’art. 95 al. 1 CPC les frais judiciaires (art. 95 al. 2 CPC) et les dépens (art. 95 al. 3 CPC) – sont mis à la charge de la partie succombante. Vu l’issue du litige, les frais judiciaires de deuxième instance, arrêtés à 1'600 fr. (art. 6 al. 3 et 62 al. 1 et 2 TFJC [Tarif des frais</w:t>
      </w:r>
    </w:p>
    <w:p>
      <w:r>
        <w:t>- 33 - judiciaires civils du 28 septembre 2010 ; RS 270.11.5]), seront mis à la charge de l'appelant. S’agissant des dépens, aucune des parties intimées n'a été invitée à se déterminer sur le fond. L'intimé H.________, représenté par Me Richard dont la capacité de postuler dans la présente cause a été contestée, n'a été amené à se déterminer que sur l'éventuelle suspension de la procédure d'appel en lien avec l'examen de la capacité de postuler de son conseil, ce qui ne justifie pas que des dépens lui soient alloués. Quant à l’intimée A.________ SA, elle ne s'est même pas déterminée sur la suspension envisagée. Dans ces circonstances,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