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PP10.028062 vom 13. April 2011</w:t>
      </w:r>
    </w:p>
    <w:p>
      <w:r>
        <w:t>VD Tribunal cantonal, 2011-04-13, FR</w:t>
      </w:r>
    </w:p>
    <w:p>
      <w:r>
        <w:rPr>
          <w:b/>
        </w:rPr>
        <w:t xml:space="preserve">Quelle: </w:t>
      </w:r>
      <w:r>
        <w:t>https://mcp.opencaselaw.ch/entscheid/vd_gerichte_PP10.028062</w:t>
      </w:r>
    </w:p>
    <w:p>
      <w:r>
        <w:t>FR: VD_GERICHTE PP10.028062 du 13 avril 2011</w:t>
      </w:r>
    </w:p>
    <w:p>
      <w:r>
        <w:t>IT: VD_GERICHTE PP10.028062 del 13 aprile 2011</w:t>
      </w:r>
    </w:p>
    <w:p>
      <w:pPr>
        <w:pStyle w:val="Heading2"/>
      </w:pPr>
      <w:r>
        <w:t>Erwägungen</w:t>
      </w:r>
    </w:p>
    <w:p>
      <w:r>
        <w:rPr>
          <w:b/>
        </w:rPr>
        <w:t>E. 5</w:t>
      </w:r>
    </w:p>
    <w:p>
      <w:r>
        <w:t>En conclusion, le recours doit être admis et le jugement incident réformé en ce sens que l’action en constatation de droit négative ouverte par A. et B.E. ________ le 2 septembre 2010 est irrecevable. Lorsqu’un jugement incident prononce l’éconduction d’instance ou l’irrecevabilité, il doit également fixer les frais de la procédure au fond (CREC I 19 janvier 2011/28). En l’espèce, l’émolument de la demande peut être réduit de moitié (art. 155 al. 1 TFJC [Tarif du 4 décembre 1984 des frais judiciaires en matière civile]). Les frais de la demande peuvent ainsi être réduits à 150 francs. Le jugement incident attaqué doit par conséquent être complété par un chiffre IIIbis en ce sens. La recourante obtenant gain de cause, elle a droit à des dépens pour la procédure incidente, lesquels sont arrêtés à 600 fr, TVA en sus (art. 2 al. 1 TAv [Tarif du 17 juin 1986 des honoraires d’avocat dus à titre de dépens].</w:t>
      </w:r>
    </w:p>
    <w:p>
      <w:r>
        <w:rPr>
          <w:b/>
        </w:rPr>
        <w:t>E. 6</w:t>
      </w:r>
    </w:p>
    <w:p>
      <w:r>
        <w:t>Les frais de deuxième instance de la recourante sont arrêtés à 484 fr. (art. 232 TFJC). Obtenant gain de cause, la recourante a droit à des dépens de deuxième instance, qu’il convient de fixer à 1284 fr., soit 484 fr. en remboursement de ses frais de justice et 800 fr. au titre de participation aux honoraires de son conseil (art. 2 al. 1 let a ch. 33 TAv).</w:t>
      </w:r>
    </w:p>
    <w:p>
      <w:r>
        <w:t>- 11 - Par ces motifs, la Chambre des recours du Tribunal cantonal, statuant en audience publique, prononce : I. Le recours est admis. II. Le jugement est réformé à ses chiffres I, II, IV et V et complété par un chiffre III bis. I. Admet la requête incidente déposée le 30 septembre 2010 par I.________ Sàrl. II. Déclare irrecevable l'action en constatation de droit négative ouverte par A. et B.E. ________ le 2 septembre 2010. III bis.L'émolument de la demande est réduit à 150 fr. (cent cinquante francs) pour les demandeurs A. et B.E. ________, solidairement entre eux. IV. Dit que A. et B.E. ________ sont les débiteurs d'I.________ Sàrl de la somme de 600 fr. (six cents francs), TVA en sus, à titre de dépens. V. Supprimé. Le jugement est confirmé pour le surplus. III. Les frais de deuxième instance de la recourante sont arrêtés à 484 fr. (quatre cent huitante-quatre francs) IV. Les intimés A. et B.E. ________ doivent verser à la recourante I.________ Sàrl la somme de 1'284 fr. (mille deux cent huitante-quatre francs) à titre de dépens de deuxième instance. V. L'arrêt motivé est exécutoire.</w:t>
      </w:r>
    </w:p>
    <w:p>
      <w:r>
        <w:t>- 12 - Le président : Le greffier : Du 13 avril 2011 Le dispositif de l'arrêt qui précède est communiqué par écrit aux intéressés. Le greffier : Du L'arrêt qui précède, dont la rédaction a été approuvée à huis clos, est notifié en expédition complète, par l'envoi de photocopies à : - Me Alain Ribordy (pour I.________ Sàrl) - Me Gonzague Villoz (pour A. et B.E. ________) La Chambre des recours considère que la valeur litigieuse est de 18’406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