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PP10.025240 vom 15. September 2010</w:t>
      </w:r>
    </w:p>
    <w:p>
      <w:r>
        <w:t>VD Tribunal cantonal, 2010-09-15, FR</w:t>
      </w:r>
    </w:p>
    <w:p>
      <w:r>
        <w:rPr>
          <w:b/>
        </w:rPr>
        <w:t xml:space="preserve">Quelle: </w:t>
      </w:r>
      <w:r>
        <w:t>https://mcp.opencaselaw.ch/entscheid/vd_gerichte_PP10.025240</w:t>
      </w:r>
    </w:p>
    <w:p>
      <w:r>
        <w:t>FR: VD_GERICHTE PP10.025240 du 15 septembre 2010</w:t>
      </w:r>
    </w:p>
    <w:p>
      <w:r>
        <w:t>IT: VD_GERICHTE PP10.025240 del 15 settembre 2010</w:t>
      </w:r>
    </w:p>
    <w:p>
      <w:pPr>
        <w:pStyle w:val="Heading2"/>
      </w:pPr>
      <w:r>
        <w:t>Erwägungen</w:t>
      </w:r>
    </w:p>
    <w:p>
      <w:r>
        <w:rPr>
          <w:b/>
        </w:rPr>
        <w:t>E. 3</w:t>
      </w:r>
    </w:p>
    <w:p>
      <w:r>
        <w:t>Invoquant une violation de l’art. 697h al. 2 CO (Code des obligations du 30 mars 1911, RS 220), la recourante soutient que les</w:t>
      </w:r>
    </w:p>
    <w:p>
      <w:r>
        <w:t>- 18 - conditions ouvrant le droit à la consultation des comptes de la société ne sont pas réalisées. a) Selon l'art. 697h al. 2 CO, les sociétés anonymes dont les comptes ne sont pas publiés doivent autoriser les créanciers qui ont un intérêt digne de protection à consulter les comptes annuels, les comptes de groupe et les rapports des réviseurs. L'intéressé doit tout d'abord rendre sa qualité de créancier hautement vraisemblable, sans être astreint à apporter la preuve stricte de l'existence de sa créance (Pauli, Commentaire romand, Code des obligations II, Bâle 2008, n. 7 ad art. 697h CO ; Forstmoser/Meier- Mayoz/Nobel, Schweizerisches Aktienrecht, Berne 1996, n. infrapaginale 3a p. 728, pour qui la jurisprudence ancienne du Tribunal fédéral [ATF 111 II 281, SJ 1986 188 ; ATF 78 I 165, JT 1952 I 533] devrait continuer à s’appliquer ; contra : Weber, Basler Kommentar, Obligationenrecht II, 3ème éd., Bâle 2008, n. 8 ad art. 697h CO, qui se contente de la vraisemblance de la qualité de créancier). L'intérêt digne de protection est soumis aux mêmes exigences de preuve (ATF 120 II 352 c. 4a,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(Message concernant la révision du droit des sociétés anonymes, in : FF 1983 II p. 940) ou lorsque le créancier a annoncé son intention d'ouvrir une action au fond, étayée par la désignation apparemment officielle d'un avocat à cet effet (TF 4C.244/1995 du 17 novembre 1995 c. 3c). En revanche, la faculté de consulter les comptes n'est pas protégée lorsqu'elle est exercée dans le seul but de satisfaire la curiosité, de connaître les secrets d'affaires ou de se renseigner sur les rapports de concurrence (Message précité, in : FF 1983 II p. 939). L'exigibilité, la cause et le montant de la créance ne sont pas des critères déterminants (Message précité, in : FF 1983 II p. 939 ; cf. TF 4C.129/2004 du 6 juillet 2004 c. 4.2.1 et les références citées).</w:t>
      </w:r>
    </w:p>
    <w:p>
      <w:r>
        <w:t>- 19 - b) Les trois intimées se plaignent, chacune pour son propre immeuble en propriété par étage, d’infiltrations d’eau dommageables et imputables à un défaut d’étanchéité lors de la conception des différents bâtiments. Au vu des constats d’expertise opérés, l’existence de défauts apparaît en effet vraisemblable. Ces derniers affectent les murs porteurs, apparemment en lien avec la disposition du sol des balcons des différents appartements. Or, la garantie des défauts des parts de propriété par étage appartient à chaque copropriétaire individuellement, et non pas à la communauté (ATF 111 II 458, JT 1986 I 480). La communauté – quasi- personne morale distincte qui n’a en propre que les avoirs de sa gestion (cf. art. 712l CC [Code civil suisse du 10 décembre 1907, RS 210]) – peut certes devenir cessionnaire des créances des copropriétaires individuellement (ATF 114 II 239, JT 1989 I 162 ; ATF 111 II 458, JT 1986 I 480), encore que les prétentions non pécuniaires et l’exercice de droits formateurs pour le contrat ne puissent en soi être cédés (Gauch, Le contrat d’entreprise [adaptation française], Zurich 1999, n. 1496 p. 430, remarque valant pour la vente et l’entreprise). En l’occurrence, les trois intimées ont autorisé l’administrateur des communautés à agir en leur nom et, « pour autant que de besoin, au nom des copropriétaires », contre la recourante. Ce pouvoir, voté mais non souscrit par écrit et individuellement (cf. art. 165 CO), ne confère toutefois pas en soi la qualité de créancière à l’une des communautés (cf. pièce 13, p. 4). Il s’ensuit que la première condition de l’art. 697h al. 2 CO, à savoir la preuve de la qualité de créancières des intimées, n’est pas réalisée. C’est donc à tort que le premier juge leur a reconnu le droit de consulter les comptes de la recourante.</w:t>
      </w:r>
    </w:p>
    <w:p>
      <w:r>
        <w:rPr>
          <w:b/>
        </w:rPr>
        <w:t>E. 4</w:t>
      </w:r>
    </w:p>
    <w:p>
      <w:r>
        <w:t>Au vu de ce qui précède, le recours doit être admis et le jugement attaqué réformé en ce sens que la requête en consultation de comptes du 28 juillet 2010 est rejetée. Obtenant gain de cause, la recourante a droit à des dépens de première instance, correspondant au remboursement de ses frais de</w:t>
      </w:r>
    </w:p>
    <w:p>
      <w:r>
        <w:t>- 20 - justice, et de deuxième instance, à hauteur de 2’500 fr., correspondant, d'une part, au remboursement de son avance de frais par 1’000 fr. et, d'autre part, à une participation aux honoraires de mandataire, à hauteur de 1’500 fr. (art. 5 ch. 2 TAv [tarif du 17 juin 1986 des honoraires d'avocat dus à titre de dépens, RSV 177.11.3], alors en vigueur). Par ces motifs, la Chambre des recours du Tribunal cantonal, statuant en audience publique, prononce : I. Le recours est admis. II. Le jugement est réformé aux chiffres I et III de son dispositif comme il suit : I. Dit que la requête est rejetée. III. Dit que les demanderesses Communauté des copropriétaires d'étages de X.________ 2, 4, 6, Communauté des copropriétaires d'étages de X.________ 8, 10 et Communauté des copropriétaires d'étages de X.________ 12, solidairement entre elles, doivent payer à la défenderesse A.________ SA la somme de 1'500 fr. (mille cinq cents francs) à titre de dépens. Le jugement est confirmé pour le surplus. III. Les frais de deuxième instance de la recourante sont arrêtés à 1'000 francs (mille francs). IV. Les intimées, Communauté des copropriétaires d'étages de X.________ 2, 4, 6, Communauté des copropriétaires d'étages de X.________ 8, 10 et Communauté des copropriétaires</w:t>
      </w:r>
    </w:p>
    <w:p>
      <w:r>
        <w:t>- 21 - d'étages de X.________ 12 doivent verser, solidairement entre elles, la somme de 2'500 fr. (deux mille cinq cents francs) à la recourante A.________ SA à titre de dépens de deuxième instance. V. L'arrêt motivé est exécutoire. Le président : La greffière : Du 16 février 2011 Le dispositif de l'arrêt qui précède est communiqué par écrit aux intéressés. La greffière : Du L'arrêt qui précède, dont la rédaction a été approuvée à huis clos, est notifié en expédition complète, par l'envoi de photocopies à : - Me Rodolphe Gautier (pour A.________ SA), - Me Michel Chavanne (pour la Communauté des copropriétaires d'étages de X.________ 2, 4, 6, la Communauté des copropriétaires d'étages de X.________ 8, 10 et la Communauté des copropriétaires d'étages de X.________ 12). La Chambre des recours considère que la valeur litigieuse est supérieure à 30'000 francs.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