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PP10.000180 vom 30. Juni 2014</w:t>
      </w:r>
    </w:p>
    <w:p>
      <w:r>
        <w:t>VD Tribunal cantonal, 2014-06-30, FR</w:t>
      </w:r>
    </w:p>
    <w:p>
      <w:r>
        <w:rPr>
          <w:b/>
        </w:rPr>
        <w:t xml:space="preserve">Quelle: </w:t>
      </w:r>
      <w:r>
        <w:t>https://mcp.opencaselaw.ch/entscheid/vd_gerichte_PP10.000180</w:t>
      </w:r>
    </w:p>
    <w:p>
      <w:r>
        <w:t>FR: VD_GERICHTE PP10.000180 du 30 juin 2014</w:t>
      </w:r>
    </w:p>
    <w:p>
      <w:r>
        <w:t>IT: VD_GERICHTE PP10.000180 del 30 giugno 2014</w:t>
      </w:r>
    </w:p>
    <w:p>
      <w:pPr>
        <w:pStyle w:val="Heading2"/>
      </w:pPr>
      <w:r>
        <w:t>Erwägungen</w:t>
      </w:r>
    </w:p>
    <w:p>
      <w:r>
        <w:rPr>
          <w:b/>
        </w:rPr>
        <w:t>E. 3</w:t>
      </w:r>
    </w:p>
    <w:p>
      <w:r>
        <w:t>Les appelants estiment que l’essentiel des faits nécessaires pour trancher le présent litige ont été correctement exposés dans le jugement attaqué, si ce n’est que certains faits ont été constatés de</w:t>
      </w:r>
    </w:p>
    <w:p>
      <w:r>
        <w:t>- 20 - manière inexacte ou mal appréciés par le premier juge. Ce dernier aurait notamment écarté, à tort, les témoignages d’ [...] et [...] en ce qui concerne le plan établi le 4 juin 2008. Le premier juge aurait dès lors réfuté, à tort, la légitimation passive des intimés à l’action en responsabilité intentée à leur encontre. Les appelants contestent que le tracé vert indiqué sur le plan de situation établi le 4 juin 2008 par R._________ SA corresponde au « tracé prévu de la fouille destinée à permettre le raccordement au réseau de l’ancienne parcelle n° [...]». D’une part, ils se réfèrent au courriel de P.________ envoyé le 8 mai 2009 à R._________ SA et d’autres intervenants. Or, si ce courriel évoque un « projet de fouille », celui-ci ne concerne que les introductions des services « respectifs » et ne mentionne nullement la canalisation intitulée « Z4 » de la parcelle n° [...]. D’autre part, ils se réfèrent aux témoignages d’ [...] et [...]. Or, ces témoignages sont contradictoires : selon le premier, il ne s’agirait pas du plan de principe contenant le tracé de la fouille, alors qu’il a semblé au second que « l’entrepreneur qui a fait les travaux a dû se voir communiquer par notre service le plan du 4 juin 2008, soit par courrier soit par M. [...], cela sans toutefois les annotations manuscrites qui figurent sur ledit document ». Les déclarations du second sont corroborées par les explications du Senior Counsel de R._________ SA, dans son courrier du 15 août 2011 adressé au premier juge lors de la production des pièces 56 et 151 sur lesquelles se fondent les appelants. Celui-là a indiqué qu’il s’agissait d’une copie de la commande des travaux faite à M.________ Sàrl le 18 juin 2008, laquelle comprenait le plan de situation. Selon ses précisions, seule la note manuscrite en vert ne figurait pas sur le plan fourni à l’époque à M.________ Sàrl. Ainsi, sur ce plan figurait le tracé jaune de la canalisation intitulée « Z4 » qui devait être démolie et le nouveau tracé en vert, accompagnés de mentions chiffrées (6.00/63.50/syn100/syn55). Ce plan contenait aussi la mention « Les tracés non cotés des conduites de raccordement aux bâtiments sont indiqués de façon approximative. Il faut déterminer la profondeur sur la base des sondages ». Les pièces confirment ces explications : le n° « [...] » de désignation du plan établi le</w:t>
      </w:r>
    </w:p>
    <w:p>
      <w:r>
        <w:rPr>
          <w:b/>
        </w:rPr>
        <w:t>E. 4</w:t>
      </w:r>
    </w:p>
    <w:p>
      <w:r>
        <w:t>Le premier juge a admis à raison la légitimation active des appelants. Au vu des plans de géomètre produits par les intimés, la qualité de copropriétaire de ces derniers pour 1/3 est à tout le moins établie. Cela suffit pour admettre leur qualité pour agir, peu important que la preuve de leur pleine propriété ne soit pas apportée (cf. art. 8 CC).</w:t>
      </w:r>
    </w:p>
    <w:p>
      <w:r>
        <w:t>- 23 -</w:t>
      </w:r>
    </w:p>
    <w:p>
      <w:r>
        <w:rPr>
          <w:b/>
        </w:rPr>
        <w:t>E. 5.1</w:t>
      </w:r>
    </w:p>
    <w:p>
      <w:r>
        <w:t>Les appelants estiment que les intimés seraient responsables de tous les travaux de fouille effectués sur leur parcelle n° [...], travaux qui auraient endommagé leurs plantations. Il s’agirait des travaux de fouille nécessaires au déplacement de la canalisation « Z4 » accomplis en juin 2008 et des travaux nécessaires à l’aménagement du chemin piétonnier accomplis en octobre 2009. Au contraire, les intimés réfutent leur légitimation passive : R._________ SA est responsable de l’éventuel dommage causé par les travaux de fouille effectués pour le déplacement de la canalisation « Z4 », l’entreprise M.________ Sàrl ayant agi comme auxiliaire de cette société. La responsabilité des intimés a été invoquée en application des art. 41 ss CO (Code des obligations du 30 mars 1911, RS 220) pour atteinte à la propriété des appelants, de sorte que leur légitimation passive doit être examinée en vertu de ces dispositions. Il s’impose tout d’abord d’examiner cette question sous l’angle de la qualité de propriétaire par unité d’étage de chaque intimé, puis sous l’angle de l’action en responsabilité dirigée à leur encontre. A cet égard, cette question sera appréciée d’une part, en distinguant selon que les travaux à l’origine d’un éventuel dommage ont été effectués en juin 2008 ou en octobre 2009 et, d’autre part, en distinguant les prétentions en responsabilité invoquées.</w:t>
      </w:r>
    </w:p>
    <w:p>
      <w:r>
        <w:rPr>
          <w:b/>
        </w:rPr>
        <w:t>E. 5.2</w:t>
      </w:r>
    </w:p>
    <w:p>
      <w:r>
        <w:t>En l’espèce, les intimés étaient propriétaires par unités d’étages de tous les lots de la parcelle n° [...]. Toutefois, depuis la réalisation des travaux litigieux, certains de ces lots ont été aliénés à des tiers. Quand bien même les intimés ont évoqué la vente de ces parts de propriété par étage en cours d’instruction sans en apporter la preuve, ces faits ne sauraient être ignorés par les parties ni par le juge, même en seconde instance. Le transfert de lots d’une propriété par étages concerne des indications figurant au registre foncier qu’il se justifie de considérer comme des faits notoires qui ne sont pas assujettis à l’administration de preuves (CACI 18 juin 2013/314, JT 2014 III 13, c. 2c). Or, une action en</w:t>
      </w:r>
    </w:p>
    <w:p>
      <w:r>
        <w:t>- 24 - interdiction ou en cessation de trouble est une action indivisible, qui doit être dirigée contre tous les copropriétaires consorts nécessaires (Bohnet, Actions civiles, Commentaire Pratique, 2014, § 44 nn. 27 et 31 ; Steinauer, Droits réels, T. II, n. 1905d), de sorte qu’elle ne saurait aboutir contre une partie seulement des copropriétaires actuels. Pour ce motif, les conclusions I et II de la demande du 30 avril 2010 doivent être rejetées, tel qu’a statué le premier juge. En revanche, les anciens copropriétaires demeurent responsables des atteintes au droit de propriété des voisins commises lorsqu’ils étaient seuls copropriétaires (cf. Bohnet, op. cit., n. 27 ; aussi ATF 100 II 307, JT 1976 I 240). Concernant les travaux effectués sur les parties communes en copropriété, soit le terrain lui-même, leur responsabilité suit le régime de la solidarité (cf. Bohnet, op. cit., nn. 30 s. ; Steinauer, op. cit., T. II, n. 1905d ; aussi ATF 117 II 50 c. 5b).</w:t>
      </w:r>
    </w:p>
    <w:p>
      <w:r>
        <w:rPr>
          <w:b/>
        </w:rPr>
        <w:t>E. 5.3</w:t>
      </w:r>
    </w:p>
    <w:p>
      <w:r>
        <w:t>Concernant la légitimation passive des intimés à l’action en responsabilité intentée à leur encontre en raison des atteintes provoquées par les travaux de fouille effectués en juin 2008 et en octobre 2009, il s’impose d’examiner si la distinction, proposée par l’expert et reprise par le premier juge, se justifie légalement. Le premier juge a dissocié les travaux liés à deux fouilles distinctes et successives : la première fouille effectuée en juin 2008 pour laquelle M.________ Sàrl aurait été mandatée par R._________ SA et dont le dommage en résultant ne saurait être imputé aux intimés, faute de légimitation passive, puis la seconde fouille effectuée en octobre 2009 pour l’aménagement du chemin piétonnier, dont il ne serait pas établi qu’il y ait un lien de causalité adéquat avec le dommage.</w:t>
      </w:r>
    </w:p>
    <w:p>
      <w:r>
        <w:rPr>
          <w:b/>
        </w:rPr>
        <w:t>E. 5.3.1</w:t>
      </w:r>
    </w:p>
    <w:p>
      <w:r>
        <w:t>Il n’est pas contesté que la première fouille réalisée en juin 2008 pour la pose des conduites de R._________ SA est consécutive à la construction sur la parcelle des intimés des trois bâtiments réalisés depuis lors.</w:t>
      </w:r>
    </w:p>
    <w:p>
      <w:r>
        <w:t>- 25 - L’art. 742 al. 3 anc. CC – alors en vigueur et applicable en 2008, ayant été abrogé par le chiffre I 1 de la LF du 11 décembre 2009 en vigueur depuis le 1er janvier 2012, RO 2011 4673 – prévoyait l’application des règles concernant les rapports de voisinage au déplacement de conduites. Selon cette disposition, l’art. 693 CC était applicable à toutes les requêtes de déplacement d’une servitude de conduite à la demande du propriétaire grevé, que cette servitude ait été librement consentie ou qu’elle ait eu son origine dans l’application des règles sur les servitudes de lignes de conduites nécessaires (Steinauer, op. cit. , T. II, n. 1858d ; ATF 97 II 371, JT 1973 I 56 ). En vertu de l’art. 693 al. 1 et 2 CC, les travaux de déplacement, même dans l’intérêt du propriétaire grevé, sont de la responsabilité et aux frais du titulaire de la servitude (ATF 97 II 371, JT 1973 I 56). Cette règle n’exclut toutefois pas une convention, entre le propriétaire grevé et le titulaire de la servitude, prévoyant le contraire. En l’occurrence, les intimés, en leur qualité de propriétaires grevés, avaient un intérêt à obtenir le déplacement de l’assiette de la servitude de R._________ SA, en vue de la construction des trois immeubles. A ce propos, aucune preuve n’est apportée quant à l’existence d’une convention entre les intimés et R._________ SA, titulaire de la servitude, relative à l’établissement du tracé ; ni d’éventuelles instructions données par les intimés à ce sujet ne ressortent du dossier. Au contraire, il ressort des pièces que les travaux de fouille nécessaires au déplacement de la canalisation « Z4 » sur la parcelle n° [...] ont été l’objet d’une relation contractuelle existant entre R._________ SA et M.________ Sàrl (cf. supra c. 3). Partant, le déplacement de la canalisation a été réglé sur tous les points au regard de l’art. 693 CC, soit aux frais et sous la responsabilité de R._________ SA. D’ailleurs, même si l’on suivait l’argumentation développée par les appelants au sujet du plan établi le 4 juin 2008 prétendûment « indicatif » soumis par R._________ SA aux intimés, il n’en résulterait pas pour autant que cette procédure suivie en vertu de l’art. 742 al. 3 anc. CC eût entraîné pour les intimés la qualité d’auxiliaire de R._________ SA pour l’acte illicite commis, soit la fouille effectuée en juin 2008 de manière beaucoup trop proche du centre du tilleul. Par conséquent, il ne peut être établi que les intimés aient conduit ou surveillé</w:t>
      </w:r>
    </w:p>
    <w:p>
      <w:r>
        <w:t>- 26 - les travaux de fouille réalisés le 18 juin 2008 pour le déplacement de la servitude de R._________ SA.</w:t>
      </w:r>
    </w:p>
    <w:p>
      <w:r>
        <w:rPr>
          <w:b/>
        </w:rPr>
        <w:t>E. 5.3.2</w:t>
      </w:r>
    </w:p>
    <w:p>
      <w:r>
        <w:t>Pour ce qui concerne la seconde fouille, il n’est pas contesté que les travaux effectués en octobre 2009 l’ont été par l’entreprise [...] Sàrl, en qualité d’auxiliaire des intimés, dans le cadre de la construction des trois immeubles. Leur légitimation passive est dès lors admise.</w:t>
      </w:r>
    </w:p>
    <w:p>
      <w:r>
        <w:rPr>
          <w:b/>
        </w:rPr>
        <w:t>E. 5.4.1</w:t>
      </w:r>
    </w:p>
    <w:p>
      <w:r>
        <w:t>Pour admettre une éventuelle responsabilité civile des intimés selon les art. 41 ss CO, les conditions suivantes doivent être réalisées cumulativement : un acte illicite, une faute de l’auteur, un dommage et un rapport de causalité (naturelle et adéquate) entre l’acte fautif et le dommage (ATF 132 III 122 c. 4.1 et réf. ; Werro, La responsabilité civile, 2e éd. Berne 2011, nn. 252-256 p. 77). Selon la théorie générale de la différence, le dommage se définit comme la diminution du patrimoine (réduction de l’actif, augmentation du passif ou gain manqué) d’une personne qui se produit sans la volonté de celle-ci. Par exception, on retient parfois un dommage matériel sans égard à une diminution du patrimoine, notamment lorsque des arbres sont endommagés. Le Tribunal fédéral reconnaît en effet la pertinence des normes USSP – en l’occurrence retenues par l’expertise –, cela même en dérogation cas échéant à la théorie susmentionnée (ATF 129 III 331, JT 2003 I 629 c. 2.2 ; Werro, op. cit., n. 88 p. 35). Pour dire s’il y a causalité naturelle, le juge doit apprécier les preuves apportées et s’interroger, de manière purement factuelle, sur l’enchaînement des événements et le caractère indispensable, pour provoquer le résultat, du comportement invoqué à l’appui de la demande. Le comportement critiqué constitue une condition sine qua non du résultat. Il appartient donc au juge d’apprécier les diverses preuves et de constater l’existence – ou l’inexistence – du rapport de causalité naturelle (ATF 128 III 174 c. 2b in fine ; ATF 128 III 180 c. 2d).</w:t>
      </w:r>
    </w:p>
    <w:p>
      <w:r>
        <w:t>- 27 - Le rapport de causalité est adéquat lorsque l’acte incriminé était propre, d’après le cours ordinaire des choses et l’expérience générale de la vie, à entraîner un résultat du genre de celui qui s’est produit (ATF 123 III 110 c. 3a). Pour savoir si un fait est la cause adéquate d’un préjudice, le juge procède à un pronostic rétrospectif objectif :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(ATF 129 II 312 c. 3.3 ; TF 4A_45/ 2009 du 25 mars 2009 c. 3.2).</w:t>
      </w:r>
    </w:p>
    <w:p>
      <w:r>
        <w:rPr>
          <w:b/>
        </w:rPr>
        <w:t>E. 5.4.2</w:t>
      </w:r>
    </w:p>
    <w:p>
      <w:r>
        <w:t>Les prétentions en responsabilité doivent être dissociées selon les plantations litigieuses.</w:t>
      </w:r>
    </w:p>
    <w:p>
      <w:r>
        <w:rPr>
          <w:b/>
        </w:rPr>
        <w:t>E. 5.4.2.1</w:t>
      </w:r>
    </w:p>
    <w:p>
      <w:r>
        <w:t>Pour ce qui concerne le noyer, il ressort de l’expertise du</w:t>
      </w:r>
    </w:p>
    <w:p>
      <w:r>
        <w:rPr>
          <w:b/>
        </w:rPr>
        <w:t>E. 5.4.2.2</w:t>
      </w:r>
    </w:p>
    <w:p>
      <w:r>
        <w:t>Concernant la haie vive implantée en limite de propriété et composée de houx, de lauriers-palmes et de buis, y compris de troènes et autres arbustes indigènes, elle n’est pas conforme aux dispositions du Code rural et foncier (CRF du 7 décembre 1987, RSV 211.41). La haie étant d’une hauteur moyenne de 2.5 à 3 mètres, celle-ci ne serait licite que si les pieds de la haie étaient établis à 85-117 cm de la limite (art. 38 CRF). Selon l’expert, la suppression des racines et la diminution des branches engendrées par les travaux ont provoqué un éclaircissement général de la haie, mais celle-ci reprendra son allure passée avec les futures tailles. L’expert considère que la taille régulière d’une haie relève de son entretien courant et ne peut pas être mise en relation de causalité avec les travaux réalisés en juin 2008 ou octobre 2009. La taille et</w:t>
      </w:r>
    </w:p>
    <w:p>
      <w:r>
        <w:t>- 28 - l’entretien courants de la haie font partie des charges du propriétaire, de sorte que les appelants ne peuvent avoir subi de préjudice. Dans la mesure où les travaux ont équivalu à une taille d’entretien, notamment par la réduction de la hauteur excessive de la haie et qu’un dommage ne peut pas être établi, une prétention en responsabilité de ce fait ne saurait être exercée.</w:t>
      </w:r>
    </w:p>
    <w:p>
      <w:r>
        <w:rPr>
          <w:b/>
        </w:rPr>
        <w:t>E. 5.4.2.3</w:t>
      </w:r>
    </w:p>
    <w:p>
      <w:r>
        <w:t>A propos du tilleul, cet arbre est protégé par le droit communal (plan de classement communal des arbres d’ [...] approuvé par décision du Conseil d’Etat du 7 novembre 1973), à défaut par l’application supplétive de l’art. 98 LPNMS (loi sur la protection de la nature, des monuments et des sites du 10 décembre 1969, RSV 450.11 ; RDAF 2006, p. 204). Il n’importe dès lors pas que le tilleul soit planté de façon à respecter les distances et hauteurs de la loi, les actions civiles des art. 50 et 57 ss CRF étant paralysées (cf. art. 60 CRF, aucune hypothèse de l’art. 61 CRF n’ayant été en l’occurrence établie). Selon l’expert, le tilleul était en bon état général, avec des racines malmenées qui pouvaient provoquer rapidement un revirement de la situation; il a souligné que des symptômes pouvaient se manifester rapidement sur un arbre à la suite d'une destruction importante de racines, mais pouvaient aussi survenir plusieurs années après une compaction, une surélévation ou un enlèvement de la couverture superficielle du sol. Dès lors, il a préconisé de surveiller le tilleul, avec une inspection tous les trois ans en période de végétation pour prévenir toute dégradation et avec une taille d'entretien et une légère réduction de la couronne souhaitable tous les cinq ans. L'expert a rappelé que, selon les normes USSP 2006, 40% de blessure aux racines équivalait à un dommage total (100%) et une espérance de vie réduite à zéro. Toutefois, en dépit de la théorie, après deux années de végétation, le tilleul était en bon état de santé visuel si bien qu'il serait regrettable de l'abattre sur la foi des tabelles et non pas de son état réel. Selon lui, les travaux près de la haie n’avaient pas respecté les règles de l’art pour la conservation des végétaux et la fouille effectuée en</w:t>
      </w:r>
    </w:p>
    <w:p>
      <w:r>
        <w:t>- 29 - juin 2008 était beaucoup trop proche du centre du tilleul ; elle demeurait une porte d’entrée pour les agents pathogènes qui pouvait engendrer des dégâts à n’importe quel moment. La mise en place du chemin piétonnier en octobre 2009 avait détruit les racines superficielles du tilleul et de la haie orientées au Nord-Ouest et ne respectait pas les règles de protection des végétaux à proximité des chantiers. L'imperméabilisation du chemin piétonnier ajouterait une contrainte supplémentaire au bon développement des végétaux, mais l'ensemble végétal avait de grandes chances de survivre à ce nouvel aménagement, que l'expert déconseillait d'entreprendre.</w:t>
      </w:r>
    </w:p>
    <w:p>
      <w:r>
        <w:rPr>
          <w:b/>
        </w:rPr>
        <w:t>E. 5.4.3</w:t>
      </w:r>
    </w:p>
    <w:p>
      <w:r>
        <w:t>Alors que la fouille effectuée en octobre 2009 a été dommageable pour le tilleul et qu’elle est imputable aux intimés – contrairement à celle de juin 2008 (supra c. 5.3), le premier juge a néanmoins écarté l’existence d’un préjudice en considérant qu’un dommage de 40% n’avait pas été établi pour cette seule seconde fouille. Force est de constater que l’expertise judiciaire ne permet pas de déterminer le dommage causé par cette seule seconde fouille. Reste à déterminer s’il doit être apprécié selon l’art. 42 al. 2 CO, en vertu duquel, lorsque le montant exact du dommage ne peut être établi, le juge le détermine équitablement en considération du cours ordinaire des choses et des mesures prises par la partie lésée. Cette disposition, si elle instaure une preuve facilitée en faveur du lésé (ATF 122 III 219 c. 3a), ne le dispense pas de fournir au juge, dans la mesure où on peut l’attendre de lui, tous les éléments de fait constituant des indices du dommage et permettant ou facilitant son estimation (ATF 131 III 360 c. 5.1). Les circonstances alléguées par le lésé doivent faire apparaître un dommage comme pratiquement certain, une simple possibilité ne suffisant pas. L’exception de l’art. 42 al. 2 CO à la règle du fardeau de la preuve doit être appliquée de manière restrictive (Werro, op. cit., n. 1017 p. 289). En l’espèce, les appelants n’ont à aucun moment fait porter l’expertise sur le point de savoir quelle part du dommage pouvait être attribuée aux atteintes provoquées par la première fouille ou à celles de la</w:t>
      </w:r>
    </w:p>
    <w:p>
      <w:r>
        <w:t>- 30 - seconde fouille, alors que l’on pouvait l’exiger d’eux. En outre, aucun élément du dossier ne permettrait d’affirmer qu’il n’aurait pas été possible techniquement de déterminer la part des deux facteurs. Ce n’est que si l’expert avait confirmé que la part des deux facteurs ne pouvait être établie que l’on aurait pu entrer en matière sur l’application de l’art. 42 al. 2 CO. Les appelants ont au contraire plaidé qu’il y avait déjà un dommage total à la suite de la première atteinte et ont produit à ce sujet une expertise. Selon l’expertise établie le 20 juin 2008 par [...] à leur requête – soit après la première fouille et avant la seconde fouille – on devait relever une disparition de 30-35% du système racinaire et la présence d’un dommage total. Ainsi, un dommage supplémentaire résultant de la seconde atteinte apparaît tout au plus possible. C’est un second motif justifiant de ne pas appliquer l’art. 42 al. 2 CO. 6. Au vu de ce qui précède, l’appel doit être rejeté et le jugement attaqué confirmé. Les frais de deuxième instance, arrêtés à 900 fr. (art. 62 al. 1 TFJC [tarif des frais judiciaires civils du 28 septembre 2010, RSV 270.11.5], seront mis à la charge des appelants qui succombent, solidairement entre eux (art. 106 al. 1 et 3 CPC). Etant donné l’issue de l’appel, les appelants verseront aux intimés la somme de 2'500 fr. à titre de dépens (art. 106 al. 1 CPC ; art. 37 al. 2 CDPJ [Code de droit privé judiciaire du 12 janvier 2010, RSV 211.02] ; art. 12 TDC [tarif des dépens en matière civile du 23 novembre 2010, RSV 270.11.6])</w:t>
      </w:r>
    </w:p>
    <w:p>
      <w:r>
        <w:t>- 31 -</w:t>
      </w:r>
    </w:p>
    <w:p>
      <w:r>
        <w:rPr>
          <w:b/>
        </w:rPr>
        <w:t>E. 7</w:t>
      </w:r>
    </w:p>
    <w:p>
      <w:r>
        <w:t>juillet 2011 qu’il était en fort mauvais état, quasiment mort sur pied et qu’il ne devrait pas être pris en considération dans l’estimation financière du dommage. Le noyer apparaît ainsi avoir été « mort sur pied » pour des causes antérieures aux travaux réalisés en juin 2008 ou en octobre 2009. Dès lors, aucun prétention en responsabilité civile ne saurait être exercée de ce fait.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