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PP09.033166 vom 30. Oktober 2024</w:t>
      </w:r>
    </w:p>
    <w:p>
      <w:r>
        <w:t>VD Tribunal cantonal, 2024-10-30, FR</w:t>
      </w:r>
    </w:p>
    <w:p>
      <w:r>
        <w:rPr>
          <w:b/>
        </w:rPr>
        <w:t xml:space="preserve">Quelle: </w:t>
      </w:r>
      <w:r>
        <w:t>https://mcp.opencaselaw.ch/entscheid/vd_gerichte_PP09.033166</w:t>
      </w:r>
    </w:p>
    <w:p>
      <w:r>
        <w:t>FR: VD_GERICHTE PP09.033166 du 30 octobre 2024</w:t>
      </w:r>
    </w:p>
    <w:p>
      <w:r>
        <w:t>IT: VD_GERICHTE PP09.033166 del 30 ottobre 2024</w:t>
      </w:r>
    </w:p>
    <w:p>
      <w:pPr>
        <w:pStyle w:val="Heading2"/>
      </w:pPr>
      <w:r>
        <w:t>Erwägungen</w:t>
      </w:r>
    </w:p>
    <w:p>
      <w:r>
        <w:rPr>
          <w:b/>
        </w:rPr>
        <w:t>E. 3.1</w:t>
      </w:r>
    </w:p>
    <w:p>
      <w:r>
        <w:t>La cause porte sur le partage d’une copropriété immobilière ordinaire ainsi que sur ses modalités.</w:t>
      </w:r>
    </w:p>
    <w:p>
      <w:r>
        <w:rPr>
          <w:b/>
        </w:rPr>
        <w:t>E. 3.2</w:t>
      </w:r>
    </w:p>
    <w:p>
      <w:r>
        <w:t>Le droit au partage est impérativement consacré à l'art. 650 CC, laquelle disposition en énumère les exceptions en nombre limité (numerus clausus des exceptions au partage). Le partage d’immeubles peut être exclu par convention, à condition que celle-ci soit passée en la forme authentique (art. 650 al. 2 CC).</w:t>
      </w:r>
    </w:p>
    <w:p>
      <w:r>
        <w:t>- 17 - Le règlement d’administration de la copropriété qui contiendrait des exclusions ou des limitations du droit au partage ne serait pas valable sur ce point, et au demeurant ne pourrait pas être opposé aux tiers sans annotation, l'art. 649a CC n'étant dans ce cas absolument pas applicable (Brunner/Wichtermann, Basler Kommentar zum Zivilgesetzbuch II, 2023 [ci-après : Basler Kommentar], n. 17a, 650 CC ; Perruchoud, Commentaire romand du Code civil II, Bâle 2016 [ci-après : CR CC], n. 22 ad 650 CC ; Kiepe, Analyse de l'art. 649a CC, 2023, n. 560 p. 290).</w:t>
      </w:r>
    </w:p>
    <w:p>
      <w:r>
        <w:rPr>
          <w:b/>
        </w:rPr>
        <w:t>E. 3.3</w:t>
      </w:r>
    </w:p>
    <w:p>
      <w:r>
        <w:t>En l’espèce, aucun élément au dossier ne permet de retenir l’existence d’un quelconque acte passé en la forme authentique ou d’une annotation portée au Registre foncier qui exclurait le partage de la copropriété. En conséquence, le principe du partage ne peut qu’être confirmé, ce qui n’est au demeurant pas contesté par les parties.</w:t>
      </w:r>
    </w:p>
    <w:p>
      <w:r>
        <w:rPr>
          <w:b/>
        </w:rPr>
        <w:t>E. 4.1</w:t>
      </w:r>
    </w:p>
    <w:p>
      <w:r>
        <w:t>L’appelante reproche à la présidente d’avoir considéré que la gratuité de son droit de jouissance exclusif sur l’aile ouest de l’immeuble de X.________ n’était pas consacrée dans le règlement d’utilisation et d’administration de la copropriété du bien mais qu’elle relevait d’une pure intention libérale de feu C.E.________. Elle estime que la gratuité ne serait pas contraire au principe d’égalité entre les propriétaires prévu à l’art. 646 al. 3 CC dans la mesure où l’appelante avait contribué de manière prépondérante à l’acquisition dudit bien immobilier. Elle soutient que l’art. 647 al. 1 CC permettait dans tous les cas à feu C.E.________ et à T.________ de prévoir un règlement dérogeant au système légal et donc au principe d’égalité entre les copropriétaires. Elle soutient qu’il n’était pas nécessaire de prévoir cette gratuité dans un pacte successoral ou dans des dispositions testamentaires pour que cette modalité soit imposable aux héritiers de feu C.E.________. Elle se prévaut en outre d’avoir bénéficié de cette gratuité pendant 16 ans du vivant de feu [...] et se fonde à cet égard sur un arrêt du Tribunal fédéral dans un cas qu’elle estime similaire (TF 5A_44/2011 du 27 juillet 2011). Elle se réfère également au</w:t>
      </w:r>
    </w:p>
    <w:p>
      <w:r>
        <w:t>- 18 - témoignage de Y.________ qui confirmerait que la volonté de feu C.E.________ était qu’elle puisse bénéficier de cette gratuité même après le décès de son ex-compagnon. Elle considère en définitive que la gratuité de son droit de jouissance s’impose aux héritiers d’C.E.________.</w:t>
      </w:r>
    </w:p>
    <w:p>
      <w:r>
        <w:rPr>
          <w:b/>
        </w:rPr>
        <w:t>E. 4.2.1</w:t>
      </w:r>
    </w:p>
    <w:p>
      <w:r>
        <w:t>L'art. 646 CC dispose que lorsque plusieurs personnes ont, chacune pour sa quote-part, la propriété d'une chose qui n'est pas matériellement divisée, elles en sont copropriétaires (al. 1). Leurs quotes- parts sont présumées égales (al. 2). Chacun des copropriétaires a les droits et les charges du propriétaire en raison de sa part, qu'il peut aliéner ou engager et que ses créanciers peuvent saisir (al. 3). Selon l'art. 647 al. 1 CC, les copropriétaires peuvent convenir d'un règlement d'utilisation et d'administration dérogeant aux dispositions légales et y prévoir que celui-ci peut être modifié à la majorité des copropriétaires. Cette liberté n’est pas illimitée et les normes générales de l’ordre juridique limitant la liberté contractuelle – les art. 19 al. 2, 20 CO et 27 CC – s’appliquent. A l’aune du principe de la proportionnalité, des modalités tracassières d’usage de la chose, en imposant des limitations temporelles ou de moyens excessives, ne sauraient être admises. En matière d’usage et de jouissance, les copropriétaires peuvent limiter leurs prérogatives. Toutefois, toute limitation doit être licite et être ni contraire à l’art. 27 al. 2 CC, ni à l’art. 20 CO (Perruchoud, CR CC, nn. 21-22 ad art. 647 CC). De même, ledit règlement ne peut pas supprimer ou limiter certains droits de chaque copropriétaires, droits qui sont énumérés à l’art. 647 al. 2 CC (cf. Steinauer, Les droits réels I, 5e, éd., Berne 2012, n. 1261, p. 445). Tant qu'elle n'est pas destinée à être inscrite au registre foncier, cette convention n'est soumise à aucune forme particulière (art. 80 al. 2 de l'ordonnance sur le registre foncier [ORF ; RS 211.432.1]; Meier-Hayoz, Berner Kommentar, Berne 1981, n. 40 ad art. 647 CC ; Brunner/Wichtermann, Basler Kommentar, n. 40 ad art. 647 CC ; TF 5C.232/2002 du 23 décembre 2002).</w:t>
      </w:r>
    </w:p>
    <w:p>
      <w:r>
        <w:t>- 19 - Le règlement d'utilisation et d'administration établi par les copropriétaires présente des caractéristiques analogues aux statuts de sociétés (Meier-Hayoz, op. cit., n. 37 ad art. 647 CC ; Brunner/Wichtermann, Basler Kommentar, n. 22 ad art. 647 CC). Lorsqu'il attribue des droits préférentiels, il détermine ainsi les relations réciproques des copropriétaires entre eux pour la durée de la copropriété (cf. ATF 94 II 17 consid. 3). Aux termes de l'art. 649a al. 1 CC, le règlement d'utilisation et d'administration convenu par les copropriétaires, les mesures administratives prises par eux, de même que les décisions et ordonnances judiciaires, sont aussi opposables à l'ayant-cause d'un copropriétaire et à l'acquéreur d'un droit réel sur une part de copropriété. Cette subrogation de l'acquéreur d'une part se produit de par la loi indépendamment de toute opération au registre foncier et même si l'acquéreur n'a aucune connaissance du contenu du règlement (ATF 110 la 106 consid. 4b ; TF 5C.177/2006 du 19 décembre 2006 consid. 4.1). La règle posée par l'art. 649a CC est impérative (Meier-Hayoz, op. cit., n. 3 ad art. 649a CC ; Brunner/Wichtermann, op. cit., n. 1 ad art. 649a CC). Elle ne vaut toutefois que pour le champ d'application propre du règlement d'administration et d'utilisation, et non pour l'ensemble des relations entre copropriétaires (ATF 123 III 53 consid. 3a ; ATF 110 la 106 consid. 4c). En d'autres termes, les dispositions du règlement ne sont opposables à l'ayant-cause d'un copropriétaire que dans la mesure où elles ont un rapport direct avec l'administration et l'utilisation communes de la chose (ATF 142 III 220 ; Meier-Hayoz/Rey, Berner Kommentar, Berne 1988, n. 84 ad art. 712g CC). Les copropriétaires peuvent prévoir un droit exclusif d’usage, lequel peut même être constitué tacitement dans une copropriété ordinaire (TF 5C.232/2002 du 23 décembre 2022 consid. 3.1), contrairement à ce qui prévaut dans une propriété par étage (ATF 136 III 261, JdT 2010 I 415 consid. 4 et réf. cit.). Le droit réglementaire d’usage</w:t>
      </w:r>
    </w:p>
    <w:p>
      <w:r>
        <w:t>- 20 - privatif dans la copropriété simple disparaît par le seul effet de la loi au moment du partage, alors que si les mêmes prérogatives avaient été constituées en servitude sur la parcelle de base, le droit ainsi créé survivrait au régime de la copropriété (Kiepe, op. cit., n. 555 p. 288 ; Piotet, Le droit d’usage privatif réglementaire sur des parties communes, in PPE 2017, Neuchâtel/Bâle 2017, n. 24 p. 215).</w:t>
      </w:r>
    </w:p>
    <w:p>
      <w:r>
        <w:rPr>
          <w:b/>
        </w:rPr>
        <w:t>E. 4.2.2</w:t>
      </w:r>
    </w:p>
    <w:p>
      <w:r>
        <w:t>Le droit d’habitation est une servitude qui confère à une personne déterminée le droit de demeurer dans une maison ou d’en occuper une partie (art. 776 al. 1 CC). Un droit d’habitation fondé sur la loi n'est possible qu'en cas de base légale expresse (art. 121, 219 al. 3, 244 al. 2, 612a al. 2 CC et 11 al. 3 LDFR [loi fédérale sur le droit foncier rural ; RS 211.412.11]). Seuls les art. 776 à 778 CC traitent expressément le droit d’habitation. Pour le surplus, l’art. 776 al. 3 CC renvoie aux dispositions relatives à l’usufruit (art. 745 ss CC) qui s’appliquent par analogie. Le droit d’habitation se distingue de l’usufruit principalement par le fait qu’il ne confère pas une pleine jouissance de la chose. Il s’agit d’une servitude personnelle proprement dite, incessible et intransmissible (Wermelinger, Droits réels, Neuchâtel 2021, n. 476 p. 234). Aux termes de l’art. 746 al. 2 CC, les règles concernant la propriété sont applicables, sauf dispositions contraires, à l’acquisition de l’usufruit tant mobilier qu’immobilier et à son inscription. En particulier, la constitution d’un droit d’habitation nécessite la forme authentique, les dispositions pour cause de mort demeurant soumises aux formes qui leur sont propres (art. 657 CC).</w:t>
      </w:r>
    </w:p>
    <w:p>
      <w:r>
        <w:rPr>
          <w:b/>
        </w:rPr>
        <w:t>E. 4.2.3</w:t>
      </w:r>
    </w:p>
    <w:p>
      <w:r>
        <w:t>Comme tout moyen de preuve, une expertise judiciaire est sujette à la libre appréciation des preuves par le juge. Le juge ne peut toutefois, sans motifs déterminants, substituer son appréciation à celle de l'expert, sous peine de verser dans l'arbitraire (TF 5A_465/2016 du 19 janvier 2017 consid. 5.2.2 et réf. cit.). Des justes motifs pour s'écarter de</w:t>
      </w:r>
    </w:p>
    <w:p>
      <w:r>
        <w:t>- 21 -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par exemple lorsque le rapport d'expertise présente des contradictions (TF 5A_94/2019 du 13 août 2019 consid. 3.2.3).</w:t>
      </w:r>
    </w:p>
    <w:p>
      <w:r>
        <w:rPr>
          <w:b/>
        </w:rPr>
        <w:t>E. 4.3</w:t>
      </w:r>
    </w:p>
    <w:p>
      <w:r>
        <w:t>La présidente, se fondant sur le rapport de l’expert, a considéré que la gratuité du droit de jouissance de l’appelante sur une partie de l’immeuble relevait d’une intention libérale et non du règlement d’utilisation et d’administration de la copropriété. Elle a estimé que l’écoulement du temps ne suffisait pas à conférer à cette gratuité le caractère et la force d’un règlement. Selon elle, rien ne prouvait que feu C.E.________ voulût maintenir la situation après son décès, l’absence de dispositions testamentaires ou d’un pacte successoral en ce sens semblant confirmer le contraire. A titre liminaire, on relève que l’expert a clairement exposé son raisonnement s’agissant du caractère gratuit du droit d’habitation en page 8 de son rapport du 10 janvier 2014 (ch. 3.3, cf. « la gratuité de l’occupation [relève] d’une intention libérale » ; cf. aussi le passage à partir de « Il n’est pas établi que M. C.E.________ ait voulu renoncer » jusqu’à « ne se présume pas » ; cf. aussi « la jouissance relève du règlement de copropriété, mais pas la gratuité de celle-ci »). Dans ses rapports successifs, il a exposé les arguments de l’appelante mais a confirmé ses observations, notamment en page 5 de son rapport du 13 janvier 2021 (ch. 3.3, cf. le passage à partir de « Tout en maintenant la détermination figurant dans notre rapport de 2014 » jusqu’à « à son logement dans l’immeuble »). Il a en particulier précisément exposé les pièces du dossier, les dispositions légales (art. 647 al. 1, 649a al. 1 et 646 al. 3 CC en particulier) et même la jurisprudence (TF 5A_499/2010 précité ;</w:t>
      </w:r>
    </w:p>
    <w:p>
      <w:r>
        <w:t>- 22 - 5A_341/2010 et 5A_338/2010 du 4 octobre 2010) sur lesquelles il a fondé ses conclusions. En conséquence, les explications de l’expert sont circonstanciées, claires et constantes, et l’appelante échoue à avancer de justes motifs pour s’écarter de ses constatations. Cela étant, il convient d’examiner les griefs soulevés par l’appelante. Il n’est pas contesté en appel que l’appelante a bénéficié d’un droit de jouissance sur l’aile ouest de l’immeuble sis à X.________ du vivant de feu C.E.________. Il n’est pas non plus contesté que, conformément aux constatations de l’expert, ledit droit d’usage privatif relève du règlement d’utilisation et d’administration de la copropriété mais qu’il ne repose sur aucune pièce écrite en attestant. Cependant, contrairement au régime de la propriété par étages, le droit exclusif réglementaire peut être constitué tacitement dans la copropriété ordinaire (cf. consid. 4.2.1 supra). Aussi, le respect d’une forme particulière n’était pas nécessaire pour consacrer le droit de jouissance de l’appelante sur l’aile ouest dudit bien. La gratuité dont l’appelante a bénéficié jusqu’au décès d’C.E.________ était manifestement due à la volonté d’C.E.________ de favoriser l’appelante, intuitu personae, en raison de la relation qu’ils avaient entretenue et des liens affectifs qu’ils avaient conservés. Si l’on peut bien voir dans l’attribution à l’appelante d’un droit à l’utilisation exclusive de l’aile ouest une disposition appartenant à un règlement d’utilisation, la gratuité en est en revanche exclue (cf. consid. 4.2.1). Il faut voir, dans la pratique constante d’C.E.________ de ne pas demander à l’appelante de participation aux charges, la manifestation d’une volonté de donner portant sur les participations passées et futures. Au demeurant, la contreprestation ou la gratuité d’une clause réglementaire ne fait pas partie de l’ordre communautaire opposable selon l’art. 649a CC aux acquéreurs subséquents de droits. Il ne pourrait obliger les intimés qu’en tant qu’obligation successible assumée envers l’appelante.</w:t>
      </w:r>
    </w:p>
    <w:p>
      <w:r>
        <w:t>- 23 - Or, en vertu de l’art. 252 CO, la donation qui a pour objet des prestations périodiques s’éteint au décès du donateur. Aussi, en l’espèce, il est présumé que la donation ainsi conclue – soit la gratuité de l’occupation de l’appartement par l’appelante donataire – a pris fin au décès du donateur, feu C.E.________. Reste à déterminer si l’appelante peut se prévaloir de la constitution d’une servitude, respectivement d’un droit d’habitation sur la parcelle n° [...] de [...]. L’appelante ne fait pas valoir – à raison – qu’une base légale expresse fonderait son droit d’habitation, si bien que cette éventualité peut être écartée. L’appelante soutient que la gratuité du droit de jouissance ne serait pas contraire au principe d’égalité entre les copropriétaires consacré à l’art. 646 al. 3 CC dans la mesure où elle aurait contribué de manière prépondérante à l’acquisition de la parcelle de [...]. La présidente a effectivement retenu, sur la base de l’expertise, que l’appelante avait investi un montant total de 200'000 fr. dans l’achat de ladite parcelle, de sorte qu’elle pouvait en réclamer la moitié aux intimés dans le cadre de la liquidation. Cet investissement relève toutefois du seul droit des obligations et vise uniquement les liens entre l’appelante et feu C.E.________ ; il ne peut pas être opposé à un tiers-acquéreur ou aux héritiers par le mécanisme de l’art. 649a CC. Seules les charges d’administration peuvent, par acte juridique volontaire, être modifiées dans le cadre des rapports communautaires. Encore faut-il que les limites de ce cadre soient respectées, soit que le règlement convenu sur ce point ne vide pas une part de tout ou d’une large partie de sa valeur (Piotet, op. cit., n. 65 p. 225 ss), ce qui serait le cas en l’occurrence si l’on suivait l’appelante. Au demeurant, même à admettre que ce versement de 200'000 fr. serait opposable aux intimés, l’appelante n’établit pas qu’il représenterait la valeur capitalisée de l’utilisation gratuite de l’immeuble jusqu’à son décès et que le principe d’égalité entre les copropriétaires serait alors respecté.</w:t>
      </w:r>
    </w:p>
    <w:p>
      <w:r>
        <w:t>- 24 - L’appelante estime subsidiairement que l’art. 647 al. 1 CC permettait de prévoir un règlement d’utilisation de la copropriété dérogeant au principe d’égalité entre les copropriétaires. Elle soutient qu’il n’était pas nécessaire de prévoir cette gratuité dans un pacte successoral ou dans des dispositions testamentaires pour que cette modalité soit imposable aux héritiers de feu C.E.________. Toutefois, comme indiqué ci- dessus, le droit réglementaire d’usage privatif a pris fin avec le décès de l’ex-compagnon de l’appelante. Seule la constitution d’une servitude, spécifiquement un droit d’habitation, aurait permis à l’appelante de continuer à jouir des mêmes droits. Or, conformément à l’art. 776 al. 3 CC, le droit d’habitation est soumis aux règles de l’usufruit. Aussi, pour constituer un droit d’habitation, opposable aux héritiers de feu C.E.________, celui-ci et l’appelante auraient dû passer un acte authentique (art. 657 al. 1 CC). Or, l’appelante n’allègue pas qu’un tel document existerait, et un règlement d’utilisation – tacite – ne réalise pas les conditions de forme. Si feu C.E.________ avait souhaité prévoir, après son décès, que l’appelante dispose d’un droit d’habitation, il aurait dû respecter les formes des art. 499 ss CC comme le prévoit expressément l’art. 657 al. 2 CC (auquel les art. 776 al. 3 et 746 al. 2 CC renvoient). Or, feu C.E.________ n’a pas non plus prévu de dispositions pour cause de mort consacrant ce droit de jouissance en faveur de l’appelante. Aussi, on ne peut pas retenir l’existence d’un droit d’habitation – gratuit ou non – opposable aux intimés. L’appelante se prévaut d’avoir bénéficié de cette gratuité pendant 16 ans du vivant de feu C.E.________ et se fonde sur un arrêt du Tribunal fédéral selon lequel une pratique constante admise depuis près de 30 ans devrait être qualifiée de règlement au sens de l’art. 647 al. 1 CC (TF 5A_44/2011 du 27 juillet 2011). Cependant, cet arrêt diffère du cas d’espèce dans la mesure où il traite d’un droit préférentiel sur une place de parking au moment de la répartition des parts de propriété, lequel droit n’est pas soumis aux mêmes règles de forme que la constitution d’un droit d’habitation. Il ne s’agissait pas non plus d’imposer aux autres copropriétaires la gratuité d’un droit de jouissance mais de prévoir une priorité d’attribution au moment du partage. Cet arrêt ne permet pas de</w:t>
      </w:r>
    </w:p>
    <w:p>
      <w:r>
        <w:t>- 25 - retenir qu’une longue période d’usage gratuit suffirait à contrevenir à la forme authentique nécessaire à la constitution d’un droit d’habitation. L’appelante n’établit pas au demeurant qu’un tel droit aurait été constitué par usucapion. Cette jurisprudence n’est donc d’aucun secours à l’appelante en l’occurrence. L’appelante se réfère enfin au témoignage de Y.________ qui confirmerait que la volonté de feu C.E.________ était de faire bénéficier à l’appelante d’un droit d’habitation gratuit, même après le décès de feu C.E.________. Ledit témoin a effectivement déclaré que feu C.E.________ lui avait confirmé à plusieurs reprises que l’appelante demeurerait dans le logement jusqu’à la fin de ses jours, nonobstant leur séparation. Feu C.E.________ lui avait également précisé que les loyers encaissés pour les appartements loués permettaient de couvrir les charges de l’immeuble, raison pour laquelle il refusait de vendre. Cependant, les propos rapportés par Y.________ ne suffisent pas à créer un droit d’habitation gratuit en faveur de l’appelante, l’exigence de forme rappelée ci-dessus n’ayant pas été respectée. On peine d’ailleurs à comprendre pourquoi feu C.E.________, qui était prétendument déterminé à consacrer un droit d’habitation gratuit en faveur de l’appelante, n’a jamais concrétisé cette volonté par un acte authentique ou par des dispositions pour cause de mort, en particulier après en avoir discuté à plusieurs reprises avec son locataire avocat. En définitive, les arguments soulevés par l’appelante doivent tous être rejetés et le raisonnement de la présidente doit être confirmé, en ce sens que l’appelante ne dispose pas d’un droit d’habitation gratuit sur le bien immobilier sis sur la parcelle H.________ de X.________.</w:t>
      </w:r>
    </w:p>
    <w:p>
      <w:r>
        <w:rPr>
          <w:b/>
        </w:rPr>
        <w:t>E. 5.1</w:t>
      </w:r>
    </w:p>
    <w:p>
      <w:r>
        <w:t>L’appelante expose que « compte tenu du droit d’habitation [qui lui a été conféré] jusqu’à son décès », il se justifierait de modifier la répartition du prix de vente prévue au chiffre VI du dispositif de la décision entreprise. Selon elle, sa participation au prix de vente devrait être augmentée d’une indemnité de 100'000 fr. et d’une somme</w:t>
      </w:r>
    </w:p>
    <w:p>
      <w:r>
        <w:t>- 26 - complémentaire de 89'012 fr. 50 puisqu’elle ne devrait en définitive aucune indemnité d’occupation. Elle soutient par ailleurs que le chiffre VIII du dispositif de la décision entreprise – prévoyant en substance le versement par l’appelante aux intimés d’un montant mensuel de 940 fr. jusqu’à ce qu’elle quitte l’immeuble de X.________ – devrait être supprimé en raison de son droit de jouissance gratuit sur ledit bien. Dans la mesure où l’existence d’un droit d’habitation gratuit a été rejetée, il n’y a pas lieu de réexaminer les calculs de participation au prix de vente ni l’obligation pour l’appelante de verser un montant mensuel en compensation de son occupation des locaux. L’appelante ne conteste pas au demeurant le montant mensuel dont elle doit s’allouer à ce titre, si bien qu’il ne se justifie pas non plus d’examiner ce calcul.</w:t>
      </w:r>
    </w:p>
    <w:p>
      <w:r>
        <w:rPr>
          <w:b/>
        </w:rPr>
        <w:t>E. 5.2.1</w:t>
      </w:r>
    </w:p>
    <w:p>
      <w:r>
        <w:t>L’appelante tend à la réforme du chiffre VI du dispositif du jugement entrepris afin que celui-ci ait la teneur suivante : « VI nouveau : Dit que le produit de la vente de l’immeuble issu de la vente aux enchères sera partagé entre les copropriétaires, en allouant à T.________, après remboursement de la dette hypothécaire et paiement des frais liés à la vente aux enchères, la moitié du prix de vente net, majorée [souligné par le rédacteur] du montant de CHF 100'000.00 (cent mille francs) ainsi que d’une somme complémentaire de CHF 89'012.50 (huitante-neuf mille douze francs et cinquante centimes), valeur au 21 décembre 2020. »</w:t>
      </w:r>
    </w:p>
    <w:p>
      <w:r>
        <w:rPr>
          <w:b/>
        </w:rPr>
        <w:t>E. 5.2.2</w:t>
      </w:r>
    </w:p>
    <w:p>
      <w:r>
        <w:t>Si le dispositif de la décision est peu clair, contradictoire ou incomplet ou qu'il ne correspond pas à la motivation, le tribunal procède, sur requête ou d'office, à la rectification de la décision (art. 334 al. 1 CPC). A partir du moment où il l'a prononcée, le juge ne peut pas corriger sa décision, en vertu du principe de dessaisissement, même s'il a le sentiment de s'être trompé. Une erreur de fait ou de droit ne peut être</w:t>
      </w:r>
    </w:p>
    <w:p>
      <w:r>
        <w:t>- 27 - rectifiée que par les voies de recours. Seule une procédure d'interprétation ou de rectification permet exceptionnellement au juge de corriger une décision déjà communiquée. L'objet de la rectification est de permettre la correction des erreurs de rédaction ou de pures fautes de calcul dans le dispositif. Il faut qu'apparaisse, à la lecture de l'arrêt dans son ensemble et en fonction des circonstances, une inadvertance qui peut être corrigée sur la base de ce qui a été décidé (ATF 143 III 520 consid. 6.1 ; TF 5A_6/2016 du 15 septembre 2016 consid. 4.3.1 non publié à l’ATF 142 III 695 ; TF 5A_972/2016 du 24 août 2017 consid. 4.2 ; TF 5A_760/2016 du 5 septembre 2017 consid. 9.2 ; TF 5A_776/2019 du 27 octobre 2020 consid. 3.1). Il y a lieu à rectification en cas d’erreur dans la formulation de ce qui a été voulu, mais non en cas d’erreur dans la formation de la volonté du tribunal. La rectification ne peut pas avoir pour but la modification du jugement rendu par le tribunal, mais intervient uniquement lorsque ce que le tribunal a voulu n’a pas été correctement transcrit (TF 5A_972/2016 du 24 août 2017 consid. 4.2). Le juge compétent pour procéder à la rectification est celui qui a rendu la décision. L’autorité d’appel, qui rend un jugement au fond sur les points du dispositif qui sont valablement portés en deuxième instance est dès lors compétente pour rectifier la formulation d’un point du dispositif qu’elle entend confirmer.</w:t>
      </w:r>
    </w:p>
    <w:p>
      <w:r>
        <w:rPr>
          <w:b/>
        </w:rPr>
        <w:t>E. 5.2.3</w:t>
      </w:r>
    </w:p>
    <w:p>
      <w:r>
        <w:t>L’appelante tend à réformer le montant qu’elle est fondée à recevoir en remboursement (partiel) de ses apports, montant qu’elle arrête à 100'000 fr. dans ses conclusions mais que le chiffre VI du dispositif du jugement entrepris, interprété à la rigueur de sa lettre, n’alloue pas dans cette mesure. En effet, ledit chiffre prévoit que le produit de la vente de l’immeuble issu de la vente aux enchères publiques serait partagé en allouant à l’appelante, après remboursement de la dette hypothécaire et après paiement des frais liés à la vente aux enchères, « la moitié du prix de vente net majoré [souligné par le rédacteur] de 100'000 fr. et sous déduction de 299'464 fr., valeur au 31 décembre 2020, et de 940 fr. par mois dès le 1er janvier 2021 et jusqu’à jugement définitif et exécutoire, à verser [aux intimés] ».</w:t>
      </w:r>
    </w:p>
    <w:p>
      <w:r>
        <w:t>- 28 - Or, il est manifeste, à la lecture des motifs du jugement attaqué, notamment de la dernière phrase de son considérant VIII (page 66 : « Les montants investis par l’intimée étant de 200'000 fr. au total, c’est une créance de 100'000 fr. qu’il convient d’ajouter à la part de l’intimée dans la liquidation de la copropriété. »), que l’intention de la présidente était d’allouer à l’appelante une somme de 100'000 fr. en sus de la moitié du produit net de la vente aux enchères, et non seulement la moitié de la somme du produit net de la vente plus la moitié de 100'000 fr. – soit la moitié du produit net plus 50'000 francs. C’est donc manifestement par erreur que la présidente a accordé le participe « majoré » avec le substantif « prix » au chiffre VI du dispositif, plutôt qu’avec le substantif « moitié ». Afin d’éviter toute ambiguïté, susceptible d’entraîner des difficultés d’exécution, il y a lieu, dès lors que la Cour de céans est saisie d’un appel sur ce chiffre du dispositif, d’en rectifier la formulation en ce sens que c’est bien la moitié du prix de vente qui est « majorée » du montant de 100'000 francs.</w:t>
      </w:r>
    </w:p>
    <w:p>
      <w:r>
        <w:rPr>
          <w:b/>
        </w:rPr>
        <w:t>E. 6.1</w:t>
      </w:r>
    </w:p>
    <w:p>
      <w:r>
        <w:t>Au vu de ce qui précède, l’appel doit être rejeté et le jugement attaqué confirmé.</w:t>
      </w:r>
    </w:p>
    <w:p>
      <w:r>
        <w:rPr>
          <w:b/>
        </w:rPr>
        <w:t>E. 6.2</w:t>
      </w:r>
    </w:p>
    <w:p>
      <w:r>
        <w:t>Les frais judiciaires de la procédure d’appel, arrêtés à 5'500 fr. (art. 62 al. 1 TFJC [tarif des frais judiciaires civils du 28 septembre 2010 ; BLV 270.11.5]), sont mis à la charge de l’appelante, qui succombe (art. 106 al. 1 CPC) et qui en a déjà fait l’avance. L’appelante versera aux intimés, solidairement entre eux, des dépens de deuxième instance qu’il convient d’arrêter, compte tenu des difficultés de la cause, de la valeur litigieuse et des écritures échangées, à 5'000 fr. (art. 7 al. 1 TDC [tarif des dépens en matière civile du 23 novembre 2010 ; BLV 270.11.6]).</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