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PP09.032209 vom 18. Februar 2010</w:t>
      </w:r>
    </w:p>
    <w:p>
      <w:r>
        <w:t>VD Tribunal cantonal, 2010-02-18, FR</w:t>
      </w:r>
    </w:p>
    <w:p>
      <w:r>
        <w:rPr>
          <w:b/>
        </w:rPr>
        <w:t xml:space="preserve">Quelle: </w:t>
      </w:r>
      <w:r>
        <w:t>https://mcp.opencaselaw.ch/entscheid/vd_gerichte_PP09.032209</w:t>
      </w:r>
    </w:p>
    <w:p>
      <w:r>
        <w:t>FR: VD_GERICHTE PP09.032209 du 18 février 2010</w:t>
      </w:r>
    </w:p>
    <w:p>
      <w:r>
        <w:t>IT: VD_GERICHTE PP09.032209 del 18 febbraio 2010</w:t>
      </w:r>
    </w:p>
    <w:p>
      <w:pPr>
        <w:pStyle w:val="Heading2"/>
      </w:pPr>
      <w:r>
        <w:t>Volltext</w:t>
      </w:r>
    </w:p>
    <w:p>
      <w:r>
        <w:t>TRIBUNAL CANTONAL 34/I CHAMBRE DE S RECO URS ________________________________ Arrêt du 18 février 2010 __________________ Présidence de M. COLOMBINI, président Juges : MM. Denys et Krieger Greffière : Mme Robyr ***** Art. 111 al. 3 CPC Vu l'ordonnance de mesures provisionnelles du 14 octobre 2009, par laquelle le Président du Tribunal civil de l'arrondissement de La Côte a notamment admis la requête de mesures provisionnelles formée le 24 septembre 2009 par la C.________SA, requérante, à Genève, et ordonné à A.________, intimé, à Dully, de remettre immédiatement à la requérante le grand livre, le compte patrimonial, le compte de pertes &amp; profits et le bilan 2008, vu l'écriture intitulée "appel" déposée le 18 décembre 2009 par A.________ contre cette ordonnance, concluant, avec suite de frais et dépens, à ce que la C.________SA soit déboutée de ses conclusions, 804</w:t>
      </w:r>
    </w:p>
    <w:p>
      <w:r>
        <w:t>- 2 - vu l'avis du Président du Tribunal de l'arrondissement de La Côte du 8 janvier 2010 priant A.________, par son conseil, de lui indiquer si son écriture devait être considérée comme un acte de recours, vu la lettre de A.________ du 11 janvier suivant, confirmant que l'appel déposé le 18 décembre 2009 devait être considéré comme un acte de recours au sens de l'art. 111 al. 1 CPC, vu les pièces du dossier; attendu que l'ordonnance attaquée a été rendue dans le cadre d'une action en reddition de compte (art. 400 CO [Code des obligations du 30 mars 1911, RS 220]), qu'un tel litige porte sur un droit de nature pécuniaire (TF 4A_413/2007; ATF 126 III 445), qu'en l'espèce, en l'absence d'autre élément, la valeur litigieuse correspond aux frais supplémentaires occasionnés pour reconstituer les comptes devant être produits, qu'elle apparaît ainsi inférieure à 30'000 francs, que la cause au fond entre dès lors dans la compétence du président du tribunal d'arrondissement (art. 96d al. 2 LOJV [Loi d'organisation judiciaire du 12 septembre 1979, RSV 173.01]), que l'ordonnance de mesures provisionnelles rendue par un président de tribunal d'arrondissement dans une cause qui relève de sa compétence ne peut pas faire l'objet d'un recours en réforme, ni d'un appel (art. 111 al. 3 CPC [Code de procédure civile du 14 décembre 1966, RSV 270.11]), seule la voie du recours en nullité étant ouverte (Poudret/Haldy/Tappy, Procédure civile vaudoise, 3ème éd., Lausanne 2002, n. 1 ad art. 111 CPC, p. 217),</w:t>
      </w:r>
    </w:p>
    <w:p>
      <w:r>
        <w:t>- 3 - que, dans son écriture du 18 décembre 2009, A.________ a uniquement pris des conclusions en réforme, alors que seule la voie du recours en nullité est ouverte, qu'à défaut de toute conclusion en annulation, le recours est irrecevable,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Me Julien Blanc (pour A.________), - Me Damien Blanc (pour la C.________SA). Il prend date de ce jour.</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