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PP09.031753 vom 12. Oktober 2011</w:t>
      </w:r>
    </w:p>
    <w:p>
      <w:r>
        <w:t>VD Tribunal cantonal, 2011-10-12, FR</w:t>
      </w:r>
    </w:p>
    <w:p>
      <w:r>
        <w:rPr>
          <w:b/>
        </w:rPr>
        <w:t xml:space="preserve">Quelle: </w:t>
      </w:r>
      <w:r>
        <w:t>https://mcp.opencaselaw.ch/entscheid/vd_gerichte_PP09.031753</w:t>
      </w:r>
    </w:p>
    <w:p>
      <w:r>
        <w:t>FR: VD_GERICHTE PP09.031753 du 12 octobre 2011</w:t>
      </w:r>
    </w:p>
    <w:p>
      <w:r>
        <w:t>IT: VD_GERICHTE PP09.031753 del 12 ottobre 2011</w:t>
      </w:r>
    </w:p>
    <w:p>
      <w:pPr>
        <w:pStyle w:val="Heading2"/>
      </w:pPr>
      <w:r>
        <w:t>Erwägungen</w:t>
      </w:r>
    </w:p>
    <w:p>
      <w:r>
        <w:rPr>
          <w:b/>
        </w:rPr>
        <w:t>E. 4</w:t>
      </w:r>
    </w:p>
    <w:p>
      <w:r>
        <w:t>L'appelant F.________ fait valoir que l'interdiction qui lui est faite d'effectuer des travaux bruyants en dehors des horaires ne saurait être rendue en application de l'art. 292 CP. Sur ce point, l'appelant a raison. En effet, en estimant qu'il fallait prononcer l'interdiction sous menace de la peine d'amende prévue à l'art. 292 CP pour "s'assurer plus fermement de l'observation des horaires de tranquillité", le premier juge s'est manifestement substitué au juge de l'exécution forcée, avant même qu'il ne puisse être reproché à l'appelant de ne pas s'être conformé au jugement. Or, la commination de la peine prévue à l'art. 292 CP a trait à l'exécution forcée et le jugement au fond – contrairement aux mesures provisionnelles – ne peut en aucun cas prévoir sa propre exécution (Poudret/Haldy/Tappy, Procédure civile vaudoise, 3e éd., Lausanne 2002, n. 1 ad art. 514 CPC; CREC I 10 avril 2006/392; CCIV</w:t>
      </w:r>
    </w:p>
    <w:p>
      <w:r>
        <w:rPr>
          <w:b/>
        </w:rPr>
        <w:t>E. 6</w:t>
      </w:r>
    </w:p>
    <w:p>
      <w:r>
        <w:t>novembre 2008/146/JKR), le juge de paix étant seul compétent en la matière (art. 508 CPC-VD [Code de procédure civile vaudoise du 14 décembre 1966]). Cette solution reste applicable, bien que le jugement ait été rendu après le 1er janvier 2011, la procédure de première instance restant régie par le droit cantonal (art. 404 al. 1 CPC-VD). Il importe dès lors peu que, selon l'art. 236 al. 3 CPC, le tribunal qui statue au fond puisse désormais directement ordonner des mesures d'exécution sur requête de la partie qui a eu gain de cause, par exemple en prévoyant déjà des</w:t>
      </w:r>
    </w:p>
    <w:p>
      <w:r>
        <w:t>- 17 - mesures selon l'art. 343 CPC, comme des injonctions sous menace d'amende selon l'art. 292 CP (art. 343 al. 1 let. a CPC; CPC-Tappy, n. 20 ad art. 236 CPC, p. 914). 5. Au vu de ce qui précède, l'appel formé par F.________ doit être partiellement admis en ce sens que le chiffre III du dispositif du jugement entrepris est supprimé. L'appel joint de A.V.________ et B.V.________ doit en revanche être intégralement rejeté. Les frais de justice sont arrêtés à 1'600 fr., soit 800 fr. pour chacune des parties, en application de l'art. 62 al. 1 TFJC (tarif des frais judiciaires civils du 28 septembre 2010; RS 270.11.5). Vu le sort de l'appel, partiellement admis, et celui de l'appel par voie de jonction, intégralement rejeté, l'appelant F.________ a droit à des dépens réduits de deuxième instance, qu'il convient de fixer à 1'000 fr. (art. 106 al. 2 CPC ; art. 7 TDC [tarif des dépens en matière civile du 23 novembre 2010, RS 270.11.6]) ainsi que 200 fr. de restitution d'avance de frais de deuxième instance. L'appel n'étant que partiellement admis, il n'y a pas lieu de revoir le sort des dépens de première instance tels que fixés par le premier juge.</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