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PP09.018268 vom 24. Februar 2010</w:t>
      </w:r>
    </w:p>
    <w:p>
      <w:r>
        <w:t>VD Tribunal cantonal, 2010-02-24, FR</w:t>
      </w:r>
    </w:p>
    <w:p>
      <w:r>
        <w:rPr>
          <w:b/>
        </w:rPr>
        <w:t xml:space="preserve">Quelle: </w:t>
      </w:r>
      <w:r>
        <w:t>https://mcp.opencaselaw.ch/entscheid/vd_gerichte_PP09.018268</w:t>
      </w:r>
    </w:p>
    <w:p>
      <w:r>
        <w:t>FR: VD_GERICHTE PP09.018268 du 24 février 2010</w:t>
      </w:r>
    </w:p>
    <w:p>
      <w:r>
        <w:t>IT: VD_GERICHTE PP09.018268 del 24 febbraio 2010</w:t>
      </w:r>
    </w:p>
    <w:p>
      <w:pPr>
        <w:pStyle w:val="Heading2"/>
      </w:pPr>
      <w:r>
        <w:t>Erwägungen</w:t>
      </w:r>
    </w:p>
    <w:p>
      <w:r>
        <w:rPr>
          <w:b/>
        </w:rPr>
        <w:t>E. 1</w:t>
      </w:r>
    </w:p>
    <w:p>
      <w:r>
        <w:t>La décision attaquée est un jugement incident sur déclinatoire rendu conformément à l'art. 59 CPC (Code de procédure civile du 14 décembre 1966; RSV 270.11). Un recours direct contre la décision sur déclinatoire est ouvert et peut tendre à la réforme ou à la nullité en vertu de l'art. 60 CPC (Poudret/Haldy/Tappy, Procédure civile vaudoise, 3ème éd., Lausanne 2002, n. 2 ad art. 60 CPC).</w:t>
      </w:r>
    </w:p>
    <w:p>
      <w:r>
        <w:rPr>
          <w:b/>
        </w:rPr>
        <w:t>E. 2</w:t>
      </w:r>
    </w:p>
    <w:p>
      <w:r>
        <w:t>A l'appui de son recours en nullité, la recourante reproche au premier juge d'avoir fait une appréciation arbitraire des preuves sur différents points. Ce grief constitue certes un moyen de nullité au sens de l'art. 444 al. 1 ch. 3 CPC (JT 2001 III 128), qui est cependant subsidiaire au recours en réforme et ne peut être invoqué que si l'informalité ne peut être réparée dans le cadre d'un tel recours (Poudret/Haldy/Tappy, op. cit., n. 14 ad art. 444 CPC, pp. 655/656; Girardet, Le recours en nullité en procédure civile vaudoise, thèse, Lausanne, 1986 pp. 189 ss). En l'espèce, l'autorité de recours pouvant ordonner des mesures d'instruction complémentaires (art. 456a CPC) et revoyant librement la cause en fait et en droit (art. 452 al. 2 CPC; JT 2003 III 3), ce vice peut être réparé dans le cadre du recours en réforme; il est donc irrecevable en nullité.</w:t>
      </w:r>
    </w:p>
    <w:p>
      <w:r>
        <w:rPr>
          <w:b/>
        </w:rPr>
        <w:t>E. 3</w:t>
      </w:r>
    </w:p>
    <w:p>
      <w:r>
        <w:t>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 (JT 2003 III 16).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w:t>
      </w:r>
    </w:p>
    <w:p>
      <w:r>
        <w:t>- 5 - Ainsi, saisi d'un recours en réforme dirigé contre un jugement incident rendu notamment par un président de tribunal d'arrondissement,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sur la base des pièces du dossier, l'état de fait du jugement doit être complété sur les points suivants : - La proposition d’assurance comporte l’indication manuscrite qu’elle est établie le 18 avril 2006 à Lausanne, avec la « signature du représentant », mais sans l’indication d’un siège de l’assurance à Zurich (pièce requise 51). - L’assurance de protection juridique pour les entreprises conclue entre les parties porte le numéro de police 12.555.318 (pièce 3 du bordereau produit le 15 mai 2009 par Z.________ SA). - L’indication suivante figure au pied de la police d’assurance du</w:t>
      </w:r>
    </w:p>
    <w:p>
      <w:r>
        <w:rPr>
          <w:b/>
        </w:rPr>
        <w:t>E. 5</w:t>
      </w:r>
    </w:p>
    <w:p>
      <w:r>
        <w:t>En définitive, le recours doit être rejeté et le jugement incident confirmé. Les frais de deuxième instance de la recourante sont arrêtés à 600 fr.b (art. 232 TFJC). La recourante doit verser à l'intimée la somme de 1'000 fr. à titre de dépens de deuxième instance. Par ces motifs, la Chambre des recours du Tribunal cantonal, statuant en audience publique, prononce : I. Le recours est rejeté. II. Le jugement est confirmé. III. Les frais de deuxième instance de la recourante sont arrêtés à 600 fr. (six cents francs). IV. La recourante A.________ SA doit verser à l'intimée Z.________ SA la somme de 1'000 fr. (mille francs) à titre de dépens de deuxième instance. V. L'arrêt motivé est exécutoire.</w:t>
      </w:r>
    </w:p>
    <w:p>
      <w:r>
        <w:t>- 12 - Le président : Le greffier : Du 24 février 2010 Le dispositif de l'arrêt qui précède est communiqué par écrit aux intéressés. Le greffier : Du L'arrêt qui précède, dont la rédaction a été approuvée à huis clos, est notifié en expédition complète, par l'envoi de photocopies à : - Me Eric Kaltenrieder (pour A.________ SA), - Me Robert Lei Ravello (pour Z.________ SA).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