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PP07.025895 vom 13. November 2013</w:t>
      </w:r>
    </w:p>
    <w:p>
      <w:r>
        <w:t>VD Tribunal cantonal, 2013-11-13, FR</w:t>
      </w:r>
    </w:p>
    <w:p>
      <w:r>
        <w:rPr>
          <w:b/>
        </w:rPr>
        <w:t xml:space="preserve">Quelle: </w:t>
      </w:r>
      <w:r>
        <w:t>https://mcp.opencaselaw.ch/entscheid/vd_gerichte_PP07.025895</w:t>
      </w:r>
    </w:p>
    <w:p>
      <w:r>
        <w:t>FR: VD_GERICHTE PP07.025895 du 13 novembre 2013</w:t>
      </w:r>
    </w:p>
    <w:p>
      <w:r>
        <w:t>IT: VD_GERICHTE PP07.025895 del 13 novembre 2013</w:t>
      </w:r>
    </w:p>
    <w:p>
      <w:pPr>
        <w:pStyle w:val="Heading2"/>
      </w:pPr>
      <w:r>
        <w:t>Erwägungen</w:t>
      </w:r>
    </w:p>
    <w:p>
      <w:r>
        <w:rPr>
          <w:b/>
        </w:rPr>
        <w:t>E. 1</w:t>
      </w:r>
    </w:p>
    <w:p>
      <w:r>
        <w:t>a) Le jugement préjudiciel attaqué a été rendu dans le cadre d’une action en partage ouverte le 31 août 2007. Il est toutefois postérieur au 1er janvier 2011, de sorte qu’en application de l’art. 405 al. 1 CPC (Code de procédure civile suisse du 19 décembre 2008 ; RS 272), les voies de droit sont soumises au nouveau droit, quelle que soit la nature de la décision attaquée (ATF 138 III 41; ATF 137 III 424 c. 2.3. = Revue suisse de procédure civile [RSPC] 2011 p. 489, note Tappy; TF 4A_668/2011 du 11 novembre 2011, in SJ 2012 I 159 ; jurisprudence confirmée après examen in TF 5A_9/2012 du 30 avril 2012 c. 2.2). b) L’art. 308 al. 1 let. a CPC ouvre la voie de l’appel contre les décisions finales ou incidentes de première instance dans la mesure où la valeur litigieuse de première instance est de 10'000 fr. au moins (art. 308</w:t>
      </w:r>
    </w:p>
    <w:p>
      <w:r>
        <w:t>- 12 - al. 2 CPC), le recours de l’art. 319 let. a CPC étant ouvert lorsque cette valeur litigieuse est inférieure à 10'000 francs. Est finale la décision qui met fin au procès par une décision d’irrecevabilité ou par une décision au fond (art. 236 al. 1 CPC). La doctrine et la jurisprudence de la cour de céans assimilent à la décision finale la décision partielle au sens de l’art. 91 LTF (loi du 17 juin 2005 sur le Tribunal fédéral; RS 173.110), soit celle par laquelle le juge statue sur un objet dont le sort est indépendant de celui qui reste en cause (art. 91 let. a LTF) ou rend une décision mettant fin à la procédure à l'égard d'une partie des consorts (art. 91 let. b LTF ; CACI 21 mai 2012/233 c. 1b ; Jeandin, CPC commenté, 2011, n. 8 ad art. 308 CPC, p. 1242). La décision partielle ne tranche pas plusieurs questions matérielles partielles d'une demande, mais des prétentions juridiquement distinctes, ainsi que le précise la mention « dont le sort est indépendant de celui qui reste en cause » de l’art. 91 let. a LTF. Aussi, la Cour d’appel civile a jugé que la voie de l’appel n’était pas ouverte contre la décision statuant sur la question de la couverture d'assurance à la date du début de l'incapacité de travail d'une partie, faute d’indépendance du sort de l’objet de la décision par rapport aux autres points en litige (CACI 24 février 2012/96). Une décision est incidente lorsque l’instance de recours pourrait prendre une décision contraire qui mettrait fin au procès et permettrait de réaliser une économie de temps ou de frais (art. 237 al. 1 CPC). Cette notion de décision incidente recouvre en particulier les décisions rendues à titre incident ou préjudiciel telles celles sur la prescription du droit allégué ou sur le principe de la responsabilité de la partie défenderesse, dans la mesure où une décision contraire de l’autorité de recours mettrait fin au procès (cf. Message relatif au CPC, Feuille fédérale [FF] 2006 p. 6951; Staehelin, Kommentar zur Schweizerischen Zivilprozessordnung, Sutter- Somm/Hasenböhler/Leuenberger Hrsg, 2e éd., 2013, nn. 9 ss. ad art. 237 CPC, pp 1534-1535 ; Steck, Basler Kommentar, 2e éd. 2013, n. 6 ss. ad art. 237 CPC, pp. 1291 ss; Jeandin, op. cit., n. 9 ad art. 308 CPC, p. 1242; voir également les exemples cités par Poudret/Haldy/Tappy, Procédure civile</w:t>
      </w:r>
    </w:p>
    <w:p>
      <w:r>
        <w:t>- 13 - vaudoise, 3e éd., 2002, n. 1 ad art. 285 CPC-VD, p. 439). Si cette dernière condition n’est pas remplie, on se trouve en présence d’une décision préjudicielle selon l’ancien droit de procédure qui se rapporte à une question de droit matériel (Staehelin, op. cit., nn. 7 ss ad art. 237 CPC, p. 1534; CACI 21 mai 2012/233 précité) pour laquelle seule la voie du recours de l’art. 319 let. b ch. 2 CPC est ouverte, à l’exclusion de la voie de l’appel ou du recours de l’art. 319 let. a CPC (Staehelin, op. cit., n. 8 ad art. 237 CPC, p. 1534; CREC 31 janvier 2012/43). En l’espèce, le jugement préjudiciel attaqué intervient dans le cadre d’une action en partage non successorale et a pour but de simplifier le travail de l’expert commis à la liquidation. Il ne s’agit pas d’une décision finale, dès lors qu’elle ne met pas fin au procès en partage, ni d’une décision partielle au sens de l’art. 91 LTF, faute d’indépendance entre les questions tranchées par le jugement préjudiciel et les autres questions encore pendantes du procès. Elle n’est pas davantage une décision incidente dès lors qu’une décision contraire de l’autorité de recours ne mettrait pas fin au procès en partage. Il y a donc lieu de la qualifier de décision préjudicielle selon l’ancien droit de procédure qui se rapporte à une question de droit matériel, de sorte que seul le recours de l’art. 319 let. b ch. 2 CPC est ouvert. c) Selon l’art. 319 let b ch. 2 CPC, la voie du recours est ouverte contre les autres décisions et ordonnances d’instruction de première instance lorsqu’elles peuvent causer un préjudice difficilement réparable. Selon la jurisprudence de la cour de céans, la notion de préjudice difficilement réparable est plus large que celle de dommage irréparable de l'art. 93 al. 1 let. a LTF,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voir aussi arrêt 4A_560/2011 du 11 janvier 2012 c. 2.2). Ainsi,</w:t>
      </w:r>
    </w:p>
    <w:p>
      <w:r>
        <w:t>- 14 -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En l’espèce, c’est dans le cadre d’une expertise notariale que la question de la validité du règlement d’usage et d’administration de la copropriété, instituant un droit d’emption et de préemption qualifié, a été soulevée. En relation avec cette question est apparue celle de la notion de « valeur comptable » prévue par le règlement. Cela démontre déjà la nécessité de régler ces questions définitivement afin de clarifier la mission de l’expert dans le procès au fond et de lui permettre d’accomplir sa mission. En effet, la solution consistant à ne pouvoir remettre en cause que dans le cadre d’un appel contre la décision finale la validité du règlement aurait pour conséquence de compliquer considérablement la procédure en engageant des frais importants d’expertise, qui devra porter sur la valeur comptable et traiter de différentes solutions possibles. Cette hypothèse aurait pour conséquence d’exposer les recourants à un préjudice difficilement réparable, en raison de la durée de la procédure et des frais engagés. Il y a donc lieu, en l’espèce, d’admettre que la condition posée à l’art. 319 let. b ch. 2 CPC est réalisée, partant que la voie du recours prévue par cette disposition est ouverte. d) Le recours, écrit et motivé, s'exerce dans un délai de trente jours à compter de la notification de la décision motivée ou de la notification postérieure de la motivation; il est de dix jours pour les</w:t>
      </w:r>
    </w:p>
    <w:p>
      <w:r>
        <w:t>- 15 - décisions prises en procédure sommaire et les ordonnances d'instruction (art. 321 al. 1 et 2 CPC). En l'espèce, formés en temps utile, soit dans un délai de trente jours, auprès de l'autorité compétente (art. 73 al. 1 LOJV), par des parties qui y ont intérêt (art. 59 al. 2 let. a CPC), les quatre recours sont recevables.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Dès lors qu’aucune disposition spéciale de la loi ne la prévoit, la production de pièces nouvelles en deuxième instance est prohibée (art. 326 CPC). En l’espèce, les pièces produites par les parties en deuxième instance sont irrecevables dans la mesure où elles ne figurent pas déjà au dossier de première instance.</w:t>
      </w:r>
    </w:p>
    <w:p>
      <w:r>
        <w:rPr>
          <w:b/>
        </w:rPr>
        <w:t>E. 3</w:t>
      </w:r>
    </w:p>
    <w:p>
      <w:r>
        <w:t>Les quatre recours portent sur le jugement préjudiciel du 27 mai 2013 et comportent des conclusions croisées, celui de D.________ et G.________, ainsi que celui de Fondation J.________ tendant à ce que la nullité des dispositions du règlement d’usage et d’administration de la</w:t>
      </w:r>
    </w:p>
    <w:p>
      <w:r>
        <w:t>- 16 - copropriétés relatives au droit d’emption soit constatée, alors que ceux de B.________ et de F.________ tendent à ce qu’il soit confirmé que ces dispositions sont valables et constaté que les conditions prévues par ces conditions pour l’exercice du droit d’emption sont réalisées. Au vu de ces éléments, il convient de joindre les quatre causes en application de l’art. 125 let. c CPC.</w:t>
      </w:r>
    </w:p>
    <w:p>
      <w:r>
        <w:rPr>
          <w:b/>
        </w:rPr>
        <w:t>E. 4</w:t>
      </w:r>
    </w:p>
    <w:p>
      <w:r>
        <w:t>Les parties ne contestent pas en deuxième instance que les dispositions du règlement d’usage et d’administration de la copropriété relatives au droit d’emption et de préemption qualifié sont affectées d’un vice de forme. Le premier juge a considéré que la forme authentique, nécessaire pour les pactes instituant un droit d’emption ou de préemption en application de l’art. 216 al. 2 CO (Code des obligations du 30 mars 1911 ; RS 220), n’avait pas été respectée, faute de mention dans l’acte de cession du 30 novembre 2004 que le règlement d’usage et d’administration de la copropriété, qui y était mentionné comme annexé, avait fait l’objet d’une lecture aux parties avant l’approbation de l’acte, ainsi que l’exigeaient l’art. 58 al. 3 LNo (loi vaudoise sur le notariat du 29 juin 2004 ; RSV 178.11, entrée en vigueur le 1er janvier 2005) et la jurisprudence relative à l’art. 72 aLNo (loi sur le notariat du 10 décembre 1956) (ATF 125 III 131). Avec le premier juge, il y a lieu de considérer que ni le chiffre XIV, qui mentionne que le règlement litigieux, légalisé, est annexé à l’acte, ni le libellé conclusif en page 10 de l’acte, qui comporte la mention « Lu » au singulier, n’indiquent que le règlement avait fait d’une lecture aux parties avant la conclusion de l’acte. Partant la forme authentique n’a pas été respectée, ce qui entraîne la nullité des dispositions relatives au droit d’emption et de préemption en application de l’art. 69 al. 2 LNo et 99 al. 1 aLNo.</w:t>
      </w:r>
    </w:p>
    <w:p>
      <w:r>
        <w:t>- 17 -</w:t>
      </w:r>
    </w:p>
    <w:p>
      <w:r>
        <w:rPr>
          <w:b/>
        </w:rPr>
        <w:t>E. 5</w:t>
      </w:r>
    </w:p>
    <w:p>
      <w:r>
        <w:t>Les dispositions du règlement d’usage et d’administration de la copropriété relatives au droit d’emption et de préemption qualifié étant nulles, les prétentions des recourantes B.________ et F.________ ne peuvent qu’être rejetées.</w:t>
      </w:r>
    </w:p>
    <w:p>
      <w:r>
        <w:rPr>
          <w:b/>
        </w:rPr>
        <w:t>E. 6</w:t>
      </w:r>
    </w:p>
    <w:p>
      <w:r>
        <w:t>En conclusion, les quatre causes doivent être jointes, les recours de B.________ et de F.________ doivent être rejetés, celui de</w:t>
      </w:r>
    </w:p>
    <w:p>
      <w:r>
        <w:t>- 19 - D.________ et G.________ ainsi que celui de Fondation J.________ admis et le jugement réformé en ce sens qu’il est constaté que les dispositions du règlement d’usage et d’administration qui instituent un droit d’emption et de préemption qualifié ne sont pas valables. Vu le sort de la cause, les frais judiciaires de deuxième instance, arrêtés à 4'000 fr. (art. 72 al. 1 TFJC [tarif du 28 septembre 2010 des frais judiciaires civils ; RSV 270.11.5]) doivent être mis à la charge de B.________ et F.________ (art. 106 al. 1 CPC). Celles-ci verseront en conséquence, solidairement entre elles, 1'000 francs à D.________ et G.________, créanciers solidaires, et 1'000 fr. à Fondation J.________ à titre de restitution des avances de frais fournies par ces derniers. La charge des dépens est évaluée à 3'000 fr. pour chaque partie, de sorte que, compte tenu de ce que les frais – comprenant les frais judiciaires et les dépens (art. 95 al. 1 CPC) – doivent être mis à la charge de B.________ et F.________, celles-ci verseront, solidairement entre elles à D.________ et G.________ , créanciers solidaires, la somme de 3’000 fr. à titre de dépens. Il n’y pas lieu d’allouer de dépens à Fondation J.________, cette fondation ayant agi par l’intermédiaire de l’un de ses organes. Par ces motifs, la Chambre des recours civile du Tribunal cantonal, statuant à huis clos, prononce : I. La jonction des causes PP07.025895-131346, PP07.025895- 131344, PP07.025895-131349 et PP07.025895-131347 est ordonnée. II. Les recours déposés par B.________ et F.________ sont rejetés.</w:t>
      </w:r>
    </w:p>
    <w:p>
      <w:r>
        <w:t>- 20 - III. Les recours déposés par la Fondation J.________, D.________ et G.________ sont admis. IV. Le jugement préjudiciel est réformé au chiffre I de son dispositif comme il suit : « I. constate que les dispositions du règlement d’usage et d’administration qui instituent un droit d’emption et de préemption qualifié ne sont pas valables » le jugement étant maintenu pour le surplus. V. Les frais judiciaires de deuxième instance, arrêtés à 4'000 fr. (quatre mille francs), sont mis à la charge des recourantes B.________ et F.________, solidairement entre elles. VI. B.________ et F.________, solidairement entre elles, doivent verser à la Fondation J.________ la somme de 1’000 francs (mille francs) à titre de restitution d’avance de frais de deuxième instance, à D.________ et G.________ la somme de 4'000 fr. (quatre mille francs), solidairement entre eux, à titre de dépens et de restitution d’avance de frais de deuxième instance. VII. L’arrêt motivé est exécutoire. Le président : Le greffier :</w:t>
      </w:r>
    </w:p>
    <w:p>
      <w:r>
        <w:t>- 21 - Du 15 novembre 2013 Le dispositif de l'arrêt qui précède est communiqué par écrit aux intéressés. Le greffier : Du L'arrêt qui précède, dont la rédaction a été approuvée à huis clos, est notifié en expédition complète, par l'envoi de photocopies, à : - Me Stéphane Ducret (pour B.________), - Me Jean-Samuel Leuba (pour D.________ et G.________), - Me Katia Pezuela (pour F.________), - Fondation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