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PO22.020909 vom 8. Dezember 2023</w:t>
      </w:r>
    </w:p>
    <w:p>
      <w:r>
        <w:t>VD Tribunal cantonal, 2023-12-08, FR</w:t>
      </w:r>
    </w:p>
    <w:p>
      <w:r>
        <w:rPr>
          <w:b/>
        </w:rPr>
        <w:t xml:space="preserve">Quelle: </w:t>
      </w:r>
      <w:r>
        <w:t>https://mcp.opencaselaw.ch/entscheid/vd_gerichte_PO22.020909</w:t>
      </w:r>
    </w:p>
    <w:p>
      <w:r>
        <w:t>FR: VD_GERICHTE PO22.020909 du 8 décembre 2023</w:t>
      </w:r>
    </w:p>
    <w:p>
      <w:r>
        <w:t>IT: VD_GERICHTE PO22.020909 del 8 dicembre 2023</w:t>
      </w:r>
    </w:p>
    <w:p>
      <w:pPr>
        <w:pStyle w:val="Heading2"/>
      </w:pPr>
      <w:r>
        <w:t>Erwägungen</w:t>
      </w:r>
    </w:p>
    <w:p>
      <w:r>
        <w:rPr>
          <w:b/>
        </w:rPr>
        <w:t>E. 3.1</w:t>
      </w:r>
    </w:p>
    <w:p>
      <w:r>
        <w:t>Dans leur réponse sur appel (ch. 22 p. 9), les intimés contestent la qualité des appelants pour agir en interdiction du stationnement hors case. Ils font valoir que l’aire de stationnement est une partie commune de la PPE, dont il appartiendrait au règlement de la PPE de régir l’usage.</w:t>
      </w:r>
    </w:p>
    <w:p>
      <w:r>
        <w:rPr>
          <w:b/>
        </w:rPr>
        <w:t>E. 3.2</w:t>
      </w:r>
    </w:p>
    <w:p>
      <w:r>
        <w:t>Aux termes de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Pour obtenir des mesures provisionnelles, le requérant doit, en tout premier lieu, rendre vraisemblable qu’il est titulaire d’un droit matériel, atteint ou menacé de l’être. Il doit donc montrer le droit matériel invoqué existe, qu’il lui appartient et que le procès a des chances de succès (cf. ATF 131 III 473 consid. 2.3, JdT 2005 I 305), faute de quoi la requête doit être rejetée, sans qu'il soit nécessaire de passer à l'examen des conditions inscrites à l'art. 261 al. 1 let. a et b CPC (Bohnet, Commentaire romand du Code de procédure civile, Bâle 2019, n. 8 ad art. 261 CPC).</w:t>
      </w:r>
    </w:p>
    <w:p>
      <w:r>
        <w:rPr>
          <w:b/>
        </w:rPr>
        <w:t>E. 3.3</w:t>
      </w:r>
    </w:p>
    <w:p>
      <w:r>
        <w:t>La servitude est le droit réel limité qui procure à son titulaire l’usage et/ou la jouissance d’une chose (Steinauer, Les droits réels, t. II, 5e éd., Berne 2020, n. 3282 p. 421). Elle peut notamment imposer au propriétaire du fonds grevé l’obligation de laisser le titulaire y garer un véhicule (Steinauer, op. cit., n. 3303 p. 426 et n. 3312 p. 429). Le Code n’édicte pas à ce sujet de règles spéciales, mais se contente de préciser, à l’art. 737 al. 1 CC (Code civil suisse du 10 décembre 1907 ; RS 210), que l’ayant droit peut prendre toutes les mesures nécessaires pour conserver sa servitude (Steinauter, op. cit., n. 3479 p. 481). Le plus souvent, le</w:t>
      </w:r>
    </w:p>
    <w:p>
      <w:r>
        <w:t>- 16 - titulaire de la servitude protégera son droit par une action analogue à l’action négatoire du propriétaire. Cette action peut d’abord être dirigée contre celui qui prétend à un droit incompatible avec la servitude ; si ce droit est déjà inscrit au registre foncier, l’action se doublera d’une action en rectification du registre foncier. L’action confessoire peut ensuite être ouverte contre quiconque trouble l’exercice de la servitude, y compris contre le propriétaire du fonds grevé (cf. l’art. 737 al. 3 CC) ; elle tend alors à faire cesser l’état de chose incompatible avec la servitude et/ou à faire interdire tout nouveau trouble à l’avenir (Steinauer, op. cit., n. 3481 p. 481-482 et les références citées). Le droit de garer un véhicule sur un emplacement défini emporte celui d’accéder à cet emplacement avec un véhicule – ce que les intimés ne contestent du reste pas (cf. réponse sur appel, n. 18 p. 8). Si, en garant des véhicules sur les accès, des tiers empêchent le titulaire d’accéder à son emplacement, ou le gênent d’une manière inadmissible, le titulaire est fondé par son droit réel restreint à agir en interdiction contre ces tiers, lors même que ceux-ci n’utilisent pas sa place, mais une autre zone du fonds grevé sur laquelle le titulaire n’a aucun droit réel.</w:t>
      </w:r>
    </w:p>
    <w:p>
      <w:r>
        <w:rPr>
          <w:b/>
        </w:rPr>
        <w:t>E. 3.4</w:t>
      </w:r>
    </w:p>
    <w:p>
      <w:r>
        <w:t>En l’espèce, les appelants sont titulaires de servitudes d’usage de places de parc extérieures, qui grèvent la parcelle de base de la PPE [...] à [...]. Ces servitudes leur confèrent un droit propre, distinct de celui qui résulte pour eux de leur qualité de copropriétaires d’étage. L’étendue de ce droit est déterminée, non par le règlement et les décisions de la communauté – qui, en tant que propriétaire du fonds grevé, ne saurait restreindre ou régir la servitude – mais par l’acte constitutif de la servitude et l’inscription au Registre foncier. À l’origine personnelles et cessibles, ces servitudes ont été conçues comme pouvant fort bien avoir pour titulaires des personnes extérieures à la communauté des copropriétaires. Les appelants requièrent qu’interdiction soit faite aux intimés de les entraver dans l’exercice de leur droit en garant des véhicules hors cases dans le parking de cette PPE. S’il apparaissait qu’en garant des véhicules hors cases dans le parking de la PPE, les intimés empêchent les</w:t>
      </w:r>
    </w:p>
    <w:p>
      <w:r>
        <w:t>- 17 - appelants d’exercer leur droit, ou qu’ils les gênent de manière inadmissible dans l’exercice de leur droit, les appelants, titulaires de ces servitudes, seraient effectivement, chacun pour sa propre place de stationnement, en droit d’agir contre les perturbateurs pour les faire cesser. Le moyen de défense des intimés tiré du défaut de qualité pour agir est dès lors mal fondé.</w:t>
      </w:r>
    </w:p>
    <w:p>
      <w:r>
        <w:rPr>
          <w:b/>
        </w:rPr>
        <w:t>E. 4.1</w:t>
      </w:r>
    </w:p>
    <w:p>
      <w:r>
        <w:t>Les appelants font grief au premier juge d’avoir exigé un degré de preuve trop élevé pour établir la gêne occasionnée par les stationnements hors cases des intimés, d’avoir ainsi sous-estimé la gravité des atteintes que ceux-ci portent aux droits des appelants par ces stationnements et, partant, d’avoir nié à tort que la condition posée à l’art. 261 al. 1 let. b CPC pour l’octroi de mesures provisionnelles était remplie.</w:t>
      </w:r>
    </w:p>
    <w:p>
      <w:r>
        <w:rPr>
          <w:b/>
        </w:rPr>
        <w:t>E. 4.2</w:t>
      </w:r>
    </w:p>
    <w:p>
      <w:r>
        <w:t>Pour obtenir des mesures provisionnelles,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Le dommage difficilement réparable de l'art. 261 al. 1 let. b CPC est principalement de nature factuelle ; il concerne tout préjudice, patrimonial ou immatériel, et peut même résulter du seul écoulement du temps pendant le procès. Il y a en particulier dommage lorsqu'il y a atteinte à l'exercice d'un droit absolu, notamment un droit de propriété (Hohl, Procédure civile, tome II, 2e éd., Berne 2010, n. 1763).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Le risque de préjudice difficilement réparable suppose l'urgence. De façon générale, il y a urgence chaque fois que le retard</w:t>
      </w:r>
    </w:p>
    <w:p>
      <w:r>
        <w:t>- 18 - apporté à une solution provisoire met en péril les intérêts d'une des parties (Colombini, Code de procédure civile, n. 6.1 ad art. 261 CPC ; Juge délégué CACI 30 mars 2020/123 consid. 6.2.1). L'urgence est une notion relative selon le Tribunal fédéral, qui retient qu'elle comporte des degrés et s'apprécie moins selon des critères objectifs qu'au regard des circonstances. Alors même que les mesures provisionnelles sont subordonnées à l'urgence, le droit de requérir ne se périme pas, mais la temporisation du requérant durant plusieurs mois à dater de la connaissance du dommage ou du risque peut signifier qu'une protection n'est pas nécessaire, voire constituer un abus de droit (TF 4P.263/2004 du 1er février 2005 consid. 2.2, RSPC 2005 p. 414 ; JdT 2014 III 129 ; Colombini, Code de procédure civile, n. 6.1 ad art. 261 CPC). Le juge doit procéder à la mise en balance des intérêts contradictoires, c'est-à-dire à l'appréciation des désavantages respectifs pour le requérant et pour l'intimé, selon que la mesure requise est ordonnée ou refusée. L'examen du droit et la pesée des intérêts en présence ne s'excluent pas : le juge doit pondérer le droit présumé du requérant à la mesure conservatoire avec les conséquences irréparables que celle-ci peut entraîner pour l'intimé (ATF 138 Ill 378 consid. 6.4 ; ATF 131 III 473 consid. 2.3, JdT 2005 I 305). Ces exigences portent aussi bien sur l'existence des faits pertinents que sur l'ensemble des conditions d'octroi des mesures en cause, en particulier sur l'appréciation de l'issue du litige sur le fond et des inconvénients respectifs pour le requérant et pour le requis, selon que la mesure soit ordonnée ou refusée. Dans de tels cas, la protection juridique provisoire ne doit ainsi être accordée que lorsque la demande apparaît fondée de manière relativement claire, au vu de l'état de fait rendu vraisemblable (ATF 138 III 378 consid. 6.4 et les réf. citées ; ATF 131 III 473 consid. 3.2, JdT 2005 I 305 ; TF 5D_219/2017 du 24 août 2018 consid. 4.2.2).</w:t>
      </w:r>
    </w:p>
    <w:p>
      <w:r>
        <w:rPr>
          <w:b/>
        </w:rPr>
        <w:t>E. 4.3</w:t>
      </w:r>
    </w:p>
    <w:p>
      <w:r>
        <w:t>En l’espèce, le stationnement en une seule occasion de la voiture de l’intimée J.________, le stationnement en une seule occasion de</w:t>
      </w:r>
    </w:p>
    <w:p>
      <w:r>
        <w:t>- 19 - la voiture de l’intimé U.________ et le stationnement en une seule occasion de la voiture de l’intimée H.________ sont des événements isolés qui ne semblent pas devoir se reproduire et qui ne peuvent dès lors pas justifier le prononcé de mesures provisionnelles dirigées contre ces intimés. L’appel doit être rejeté dans la mesure où il est dirigé contre ces trois intimés et l’ordonnance confirmée en tant qu’elle rejette les conclusions prises contre ceux-ci. Le stationnement du motocycle de l’intimé I.D.________, au plus près du bâtiment, n’a pas entravé l’usage des places de parc des appelants, en tout cas pas d’une manière qui justifie le prononcé de mesures provisionnelles. En revanche, il a été rendu vraisemblable que les intimés G.D.________, I.D.________ et O.________ garent fréquemment des véhicules tels que des voitures ou des fourgons devant les places de parc extérieures des appelants (cases 27 à 29). Ces véhicules empiètent sur l’allée de circulation qui dessert les places de parc des appelants et laissent moins de 4 m aux utilisateurs des cases 27 à 29 pour manœuvrer en vue d’accéder à leur emplacement ou d’en sortir. La photographie prise le 29 octobre 2022 (cf. pièce 4 de deuxième instance) montre que, même lorsque le véhicule garé hors cases est la Fiat de l’intimée O.________, il est parfois impossible pour les véhicules garés sur les cases 27 à 29 d’en sortir, sans devoir aller demander que le véhicule garé hors case soit déplacé. Dans tous les cas, il apparaît que les utilisateurs des cases 27 à 29 ne peuvent pas accéder à leur case ou en sortir sans devoir faire des manœuvres compliquées et comportant un risque non négligeable de dommage. Un tel état de fait n’est pas compatible avec la servitude dont bénéficient les appelants, qui sont fondés à pouvoir accéder à leur emplacement sans avoir à rechercher les conducteurs de véhicules qui les empêchent d’y accéder, ni avoir à risquer chaque fois un dommage de parking. Il résulte du nombre de photographies versées au dossier que les stationnements hors cases des intimés G.D.________, I.D.________ et O.________, sont récurrents. Comme indiqué au procès-verbal de l’assemblée générale des copropriétaires du 7 juin 2022, cette situation</w:t>
      </w:r>
    </w:p>
    <w:p>
      <w:r>
        <w:t>- 20 - résulte du fait que G.D.________ exerce une activité artisanale dans son lot, sans être propriétaire d’aucune place de parc. Il y a dès lors tout lieu de prévoir que les stationnements hors cases des intimés et des personnes venant voir G.D.________ pour des raisons commerciales – et auxquelles celui-ci devrait demander de se garer ailleurs – vont se poursuivre. Le dommage qui en résulte pour les appelants est important : le temps perdu à devoir manœuvrer, voire à rechercher les conducteurs des véhicules garés hors cases et à attendre qu’ils déplacent leur véhicule, a un impact sur leur activité professionnelle. Il n’y a aucune raison légitime pour qu’ils continuent de le subir durant la litispendance. Il n’est en outre pas disproportionné, vu la situation juridique relativement claire, d’exiger des intimés qu’ils recherchent immédiatement une autre solution de parcage. Partant, dans la mesure où elle était dirigée contre les intimés G.D.________, I.D.________ et O.________ et où elle tendait à leur faire interdire d’entraver l’usage des places de parc extérieures 27 à 32 de la PPE [...] à [...], notamment en garant des véhicules devant les places de parc extérieures 27 à 29 (sous réserve d’un motocycle garé au plus près de la façade du bâtiment), la requête de mesures provisionnelles était fondée. Il y a lieu d’admettre l’appel et de réformer en ce sens l’ordonnance attaquée.</w:t>
      </w:r>
    </w:p>
    <w:p>
      <w:r>
        <w:rPr>
          <w:b/>
        </w:rPr>
        <w:t>E. 5</w:t>
      </w:r>
    </w:p>
    <w:p>
      <w:r>
        <w:t>Aux termes de l’art. 267 CPC, le tribunal qui a ordonné les mesures provisionnelles prend également les mesures d’exécution qui s’imposent. Selon l’art. 343 al. 1 CPC, ces mesures peuvent notamment consister assortir la décision de la menace de la peine prévue à l’art. 292 CP (let. a) ou à prévoir une amende d’ordre de 5’000 fr. au plus (let. b). Les sanctions pénales (art. 343 al. 1 let. a CPC) et procédurales (art. 343 al. 1 let. b ou c CPC) peuvent être cumulées (CREC 26 novembre 2014/415). L’amende d’ordre doit être proportionnée au dommage qu’elle vise à prévenir.</w:t>
      </w:r>
    </w:p>
    <w:p>
      <w:r>
        <w:t>- 21 - Dans le cas présent, il y a lieu d’assortir l’interdiction faite aux intimés G.D.________, I.D.________ et O.________, d’une part, de la commination de la peine prévue à l’art. 292 CP et, d’autre part, de la menace d’une amende d’ordre, en cas de transgression de l’interdiction qui leur est faite. Il paraît suffisant et adéquat de fixer le montant de l’amende d’ordre encourue à chaque infraction à 200 francs. Les conclusions réformatoires des appelants tendant à la prise de mesures d’exécution forcée seront admises dans cette mesure.</w:t>
      </w:r>
    </w:p>
    <w:p>
      <w:r>
        <w:rPr>
          <w:b/>
        </w:rPr>
        <w:t>E. 6</w:t>
      </w:r>
    </w:p>
    <w:p>
      <w:r>
        <w:t>Selon l’art. 262 CPC, si l’action au fond n’est pas encore pendante, le tribunal impartit au requérant un délai pour le dépôt de la demande, sous peine de caducité des mesures provisionnelles ordonnées. Dans le cas présent, les appelantes B.P.________, A.P.________ et C.P.________ agissent entre elles en consorité nécessaire pour faire respecter leurs servitudes en main commune sur les cases 27 et 30 à 32, tandis que l’appelant D.________ agit pour faire respecter ses servitudes sur les cases 28 et 29 ; le second n’agit dès lors qu’en consorité simple avec les premières. Partant, un délai sera fixé aux appelantes B.P.________, A.P.________ et C.P.________ pour ouvrir action au fond sous peine de caducité des mesures provisionnelles en tant qu’elles ont été ordonnées pour protéger l’usage des cases 27 et 30 à 32 et un délai sera fixé à l’appelant D.________ pour ouvrir action au fond sous peine de caducité des mesures provisionnelles en tant qu’elles ont été ordonnées pour protéger l’usage des cases 28 et 29.</w:t>
      </w:r>
    </w:p>
    <w:p>
      <w:r>
        <w:rPr>
          <w:b/>
        </w:rPr>
        <w:t>E. 7</w:t>
      </w:r>
    </w:p>
    <w:p>
      <w:r>
        <w:t>Selon l’art. 106 al. 1, 1ère phrase, CPC, les frais sont mis à la charge de la partie succombante. Aux termes de l’art. 106 al. 3 CPC, lorsque plusieurs personnes participent au procès en tant que parties principales ou accessoires, le tribunal détermine la part de chacune aux frais du procès ; il peut les tenir pour solidairement responsables. Dans le cas présent, la requête de mesures provisionnelles et l’appel sont rejetés en tant qu’ils sont dirigés contre les intimés J.________, U.________ et H.________ ; ils sont en revanche admis presqu’entièrement</w:t>
      </w:r>
    </w:p>
    <w:p>
      <w:r>
        <w:t>- 22 - en tant qu’ils sont dirigés contre les intimés G.D.________, I.D.________ et O.________. Il paraît dès lors conforme à l’art. 106 CPC de répartir par moitié les frais judiciaires de première et de deuxième instance entre les appelants, solidairement entre eux, et les intimés, solidairement entre eux, et de compenser les dépens. Par ces motifs, le juge unique de la Cour d’appel civile prononce : I. L’appel est partiellement admis. II. L’ordonnance est annulée. III. Il est statué à nouveau comme il suit : I.- Dans la mesure où elle dirigée contre J.________, U.________ et H.________, la requête de mesures provisionnelles est rejetée. II.- Interdiction est faite à chacun des intimés G.D.________, I.D.________ et O.________ d’entraver l’usage des places de parc extérieures 27 à 32 de la PPE [...] à [...], notamment en garant des véhicules devant les places de parc extérieures 27 à 29 (sous réserve d’un motocycle garé au plus près de la façade du bâtiment), sous menace, en cas d’inobservation de cette interdiction de quelque manière que ce soit, de la peine d’amende prévue à l’art. 292 CP, qui punit de l’amende l’insoumission à une décision de l’autorité, et d’une amende d’ordre de 200 fr. (deux cents francs) par infraction. III.- Un délai au 30 avril 2024 est imparti à l’appelant D.________ pour ouvrir action au fond, sous peine, à ce défaut, de caducité des mesures ordonnées au chiffre précédent dans la mesure où elles tendent à protéger l’usage des places de parc extérieures 28 et 29.</w:t>
      </w:r>
    </w:p>
    <w:p>
      <w:r>
        <w:t>- 23 - IV.- Un délai au 30 avril 2024 est imparti aux appelantes B.P.________, A.P.________ et C.P.________ pour ouvrir conjointement action au fond, sous peine, à ce défaut, de caducité des mesures ordonnées au chiffre précédent dans la mesure où elles tendent à protéger l’usage des places de parc extérieures 27 et 30 à 32. V.- Les frais judiciaires de première instance, arrêtés à 1'600 fr., sont mis à la charge des appelants D.________, B.P.________, A.P.________ et C.P.________, solidairement entre eux, à concurrence de 800 fr. (huit cents francs), et à la charge des intimés G.D.________, I.D.________ et O.________, solidairement entre eux, à concurrence de 800 fr. (huit cents francs). VI.- Les intimés G.D.________, I.D.________ et O.________, solidairement entre eux, doivent immédiat paiement aux appelants D.________, B.P.________, A.P.________ et C.P.________, solidairement entre eux, de la somme de 800 fr. (huit cents francs) en remboursement de leur part des frais judicaires de première instance, avancés par les appelants. VII.- Les dépens de première instance sont compensés. VIII.- Toutes autres ou plus amples conclusions sont rejetées. IV. Les frais judiciaires de deuxième instance, arrêtés à 800 fr., sont mis à la charge des appelants D.________, B.P.________, A.P.________ et C.P.________, solidairement entre eux, à concurrence de 400 fr. (quatre cents francs), et à la charge des intimés G.D.________, I.D.________ et O.________, solidairement entre eux, à concurrence de 400 fr. (quatre cents francs). V. Les intimés G.D.________, I.D.________ et O.________, solidairement entre eux, doivent immédiat paiement aux appelants D.________, B.P.________, A.P.________ et C.P.________, solidairement entre eux, de la somme de 400 fr. (quatre cents</w:t>
      </w:r>
    </w:p>
    <w:p>
      <w:r>
        <w:t>- 24 - francs) en remboursement de leur part des frais judicaires de deuxième instance, avancés par les appelants. VI. Les dépens de deuxième instance sont compensés. VII. L’arrêt est exécutoire. Le juge unique : La greffière : Du Le présent arrêt, dont la rédaction a été approuvée à huis clos, est notifié en expédition complète à : - Me Nicolas Savioz (pour les appelants) - Me Sophie Girardet (pour les intimés) et communiqué, par l'envoi de photocopies, à : - M. le Président du Tribunal civil de La Côte.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- 25 -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