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PO21.033902 vom 24. Oktober 2022</w:t>
      </w:r>
    </w:p>
    <w:p>
      <w:r>
        <w:t>VD Tribunal cantonal, 2022-10-24, FR</w:t>
      </w:r>
    </w:p>
    <w:p>
      <w:r>
        <w:rPr>
          <w:b/>
        </w:rPr>
        <w:t xml:space="preserve">Quelle: </w:t>
      </w:r>
      <w:r>
        <w:t>https://mcp.opencaselaw.ch/entscheid/vd_gerichte_PO21.033902</w:t>
      </w:r>
    </w:p>
    <w:p>
      <w:r>
        <w:t>FR: VD_GERICHTE PO21.033902 du 24 octobre 2022</w:t>
      </w:r>
    </w:p>
    <w:p>
      <w:r>
        <w:t>IT: VD_GERICHTE PO21.033902 del 24 ottobre 2022</w:t>
      </w:r>
    </w:p>
    <w:p>
      <w:pPr>
        <w:pStyle w:val="Heading2"/>
      </w:pPr>
      <w:r>
        <w:t>Erwägungen</w:t>
      </w:r>
    </w:p>
    <w:p>
      <w:r>
        <w:rPr>
          <w:b/>
        </w:rPr>
        <w:t>E. 1</w:t>
      </w:r>
    </w:p>
    <w:p>
      <w:r>
        <w:t>Le 5 août 2021, O.________AG, devenue V.________AG le 30 août 2021, a déposé auprès de la Chambre patrimoniale cantonale une requête de mesures superprovisionnelles et provisionnelles à l’encontre de T.________ tendant à ce qu’il soit ordonné au Conservateur du Registre foncier du district de l’Ouest lausannois d’inscrire à titre provisoire une hypothèque légale des artisans et entrepreneurs sur les parcelles nos [...] de la Commune de [...], propriété des T.________, en sa faveur, pour une montant de 233'469 fr. 70, avec intérêts à 5 % l’an dès le 7 mai 2021</w:t>
      </w:r>
    </w:p>
    <w:p>
      <w:r>
        <w:t>- 3 - (respectivement 44'796 fr. 75 sur la parcelle n° [...], 81'979 fr. 95 sur la parcelle n° [...], 63'306 fr. sur la parcelle n° [...] et 43'387 fr. sur la parcelle n° [...]). Par ordonnance de mesures superprovisionnelles du 9 août 2021, le Juge délégué de la Chambre patrimoniale cantonale (ci-après : le juge délégué) a ordonné l’inscription à titre provisoire des hypothèques légales requises. Par courrier du 16 septembre 2021, les T.________ ont dénoncé l’instance à l’entreprise C.________AG avec laquelle ils avaient conclu un contrat d’entreprise totale. Le 30 septembre suivant, C.________AG a déclaré ne pas s’opposer à la dénonciation d’instance et souhaiter intervenir en faveur des T.________. Un délai a été imparti à la partie intimée et à la dénoncée pour se déterminer. Par ordonnance de mesures provisionnelles du 17 décembre 2021, le juge délégué a maintenu à titre provisoire les inscriptions au registre foncier des hypothèques légales des artisans et entrepreneurs prononcées selon demande du 5 août 2021.</w:t>
      </w:r>
    </w:p>
    <w:p>
      <w:r>
        <w:rPr>
          <w:b/>
        </w:rPr>
        <w:t>E. 1.1</w:t>
      </w:r>
    </w:p>
    <w:p>
      <w:r>
        <w:t>Selon l’art. 103 CPC, les décisions relatives aux avances de frais et aux sûretés peuvent faire l’objet d’un recours (art. 319 let. b ch. 1 CPC). Les décisions en matière d’avances de frais judiciaires étant des ordonnances d’instruction et obéissant à la procédure sommaire par analogie (Tappy, Commentaire romand, Code de procédure civile, 2e éd., Bâle 2019 [CR-CPC], n. 11 ad art. 103 CPC), le délai de recours est de dix jours (art. 321 al. 2 CPC).</w:t>
      </w:r>
    </w:p>
    <w:p>
      <w:r>
        <w:t>- 5 - Le recours doit être introduit auprès de l’instance de recours, soit la Chambre des recours civile (art. 73 LOJV [loi d’organisation judiciaire du 12 décembre 1979 ; BLV 173.01]).</w:t>
      </w:r>
    </w:p>
    <w:p>
      <w:r>
        <w:rPr>
          <w:b/>
        </w:rPr>
        <w:t>E. 1.2</w:t>
      </w:r>
    </w:p>
    <w:p>
      <w:r>
        <w:t>En l’espèce, déposé en temps utile par une partie qui a un intérêt digne de protection (art. 59 al. 2 let. a CPC), le recours, écrit et motivé (art. 321 al. 1 CPC), est recevable. 2. 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(Jeandin, CR-CPC, nn. 4 et 5 ad art. 320 CPC et les réf. citées). Le pouvoir d’examen de la Chambre des recours civile est donc limité à l’arbitraire s’agissant des faits retenus par l’autorité précédente (TF 4D_30/2017 du 5 décembre 2017 consid. 2.2 et les réf. citées). 3.</w:t>
      </w:r>
    </w:p>
    <w:p>
      <w:r>
        <w:rPr>
          <w:b/>
        </w:rPr>
        <w:t>E. 2</w:t>
      </w:r>
    </w:p>
    <w:p>
      <w:r>
        <w:t>Le 22 mars 2022, C.________AG a déposé une requête de mesures provisionnelles à l’encontre de V.________AG et des T.________ tendant à ce que les hypothèques légales précitées soient radiées, pour le motif que des sûretés suffisantes avaient été offertes.</w:t>
      </w:r>
    </w:p>
    <w:p>
      <w:r>
        <w:rPr>
          <w:b/>
        </w:rPr>
        <w:t>E. 3</w:t>
      </w:r>
    </w:p>
    <w:p>
      <w:r>
        <w:t>Le 25 mai 2022, V.________AG a déposé une demande à l’encontre des T.________ par laquelle elle a pris, avec suite de frais et dépens, les conclusions suivantes : « I. Constater l’existence d’une créance de V.________AG à concurrence de CHF 229'259.70, avec intérêt à 5% l’an dès le 7</w:t>
      </w:r>
    </w:p>
    <w:p>
      <w:r>
        <w:t>- 4 - mai 2021 pour la réalisation de portes et de cadres de portes en rapport avec la construction de 4 bâtiments sur les parcelles [...] de la commune de [...]. II. Ordonner au Conservateur du Registre foncier du district de l’Ouest lausannois d’inscrire à titre définitif une hypothèque légale des artisans et entrepreneurs sur les parcelles [...] de la Commune de [...], propriété des T.________, en faveur de V.________AG, pour une montant de CHF 229'259.70, avec intérêts à 5 % l’an dès le 7 mai 2021, réparti comme suit : Parcelle Montant 2761 CHF 43'744.25 2762 CHF 80'927.45 2763 CHF 62'253.50 2764 CHF 42’334.50 »</w:t>
      </w:r>
    </w:p>
    <w:p>
      <w:r>
        <w:rPr>
          <w:b/>
        </w:rPr>
        <w:t>E. 3.1</w:t>
      </w:r>
    </w:p>
    <w:p>
      <w:r>
        <w:t>La recourante fait valoir qu’elle n’a pas adressé de requête expresse d’intervention à l’autorité et qu’aucune dénonciation d’instance n’a été faite dans la procédure au fond. Si elle est intervenue dans le cadre de la procédure provisionnelle opposant la demanderesse à la défenderesse ensuite de la dénonciation d’instance de cette dernière, on</w:t>
      </w:r>
    </w:p>
    <w:p>
      <w:r>
        <w:t>- 6 - ne pourrait lui reconnaître à titre implicite la qualité d’intervenante accessoire au fond, les deux procédures étant distinctes.</w:t>
      </w:r>
    </w:p>
    <w:p>
      <w:r>
        <w:rPr>
          <w:b/>
        </w:rPr>
        <w:t>E. 3.2</w:t>
      </w:r>
    </w:p>
    <w:p>
      <w:r>
        <w:t>Il convient d’emblée de relever que la recourante s’est présentée elle-même comme « intervenante » dans le cadre de sa demande de mesures provisionnelles du 22 mars 2022 et qu’il ressort de l’ordonnance de mesures provisionnelles rendue le 8 juin 2022 que cette intervention accessoire a été admise de facto. Si la procédure provisionnelle n’est certes pas la procédure au fond, les deux sont liées et, surtout, elles visent les mêmes parties. L’art. 263 CPC prévoit d’ailleurs expressément que si l’action au fond n’est pas encore pendante, le tribunal impartit au requérant un délai pour le dépôt de la demande, sous peine de caducité des mesures ordonnées. La demande doit porter entre autres sur l’objet des mesures provisionnelles puisque celles-ci préfigurent le jugement au fond (Bohnet, CR-CPC, n. 12 ad art. 263 CPC). La qualité d’intervenante de la recourante dans le cadre de la procédure provisionnelle lui confère dès lors la même qualité dans la procédure au fond. On notera au reste que la recourante indique elle-même dans son acte de recours qu’elle se réserve le droit d’intervenir dans le litige qui oppose les parties précitées. C’est donc à juste titre que la recourante a été reconnue comme partie intervenante au procès divisant V.________AG à la défenderesse T.________. 4.</w:t>
      </w:r>
    </w:p>
    <w:p>
      <w:r>
        <w:rPr>
          <w:b/>
        </w:rPr>
        <w:t>E. 4</w:t>
      </w:r>
    </w:p>
    <w:p>
      <w:r>
        <w:t>Par ordonnance de mesures provisionnelles du 8 juin 2022, le juge délégué a rejeté les conclusions de la requête du 22 mars 2022 dans la mesure de leur recevabilité. Le juge a préalablement constaté que l’intervention accessoire de C.________AG avait été validée implicitement par le courrier du 6 octobre 2021 lui impartissant un délai pour se déterminer sur la requête de mesures provisionnelles du 5 août 2021.</w:t>
      </w:r>
    </w:p>
    <w:p>
      <w:r>
        <w:rPr>
          <w:b/>
        </w:rPr>
        <w:t>E. 4.1</w:t>
      </w:r>
    </w:p>
    <w:p>
      <w:r>
        <w:t>Dans un deuxième moyen, la recourante soutient qu’aucune avance de frais ne peut lui être demandée car elle interviendra en faveur de la défenderesse et ne fera pas valoir de prétentions propres. Elle entend uniquement conclure au rejet des prétentions prises par la demanderesse à l’encontre de la défenderesse.</w:t>
      </w:r>
    </w:p>
    <w:p>
      <w:r>
        <w:t>- 7 -</w:t>
      </w:r>
    </w:p>
    <w:p>
      <w:r>
        <w:rPr>
          <w:b/>
        </w:rPr>
        <w:t>E. 4.2</w:t>
      </w:r>
    </w:p>
    <w:p>
      <w:r>
        <w:t>Selon l’art. 9 al. 3 TFJC (tarif des frais judiciaires civils du 28 septembre 2010 ; BLV 270.11.5), en cas d’admission d’une requête d’intervention accessoire, la partie requérante avance l’émolument de partie supplémentaire prévu pour la décision au fond. En l’espèce, cet émolument est de 4'750 fr. (art. 19 al. 1 TFJC) dès lors que la valeur litigieuse se situe entre 100'001 et 250'000 francs. Comme il a été exposé au considérant qui précède, la qualité d’intervenante accessoire de la recourante a été admise de facto au stade des mesures provisionnelles et dans le cadre de la procédure au fond. L’art. 9 al. 3 TFJC prévoit le versement d’un émolument forfaitaire correspondant à une partie supplémentaire sans égard au fait que l’intervenante accessoire prenne ou non des conclusions actives (reconventionnelles).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CR-CPC, n. 3 ad art. 98 CPC). L’art. 98 CPC ne règle par la situation de l’intervenant principal ou accessoire. On ne voit dès lors pas que l’art. 9 al. 3 TFJC puisse être contraire à une règle non prévue par le droit fédéral. Pour le surplus, la recourante n’expose pas en quoi l’art. 9 al. 3 TFJC excèderait la compétence cantonale réservée à l’art. 96 CPC. Il paraît au contraire conforme au droit fédéral de percevoir un émolument judiciaire pour tenir compte du coût supplémentaire, pour la justice, que représente l’intervention d’une partie supplémentaire au procès. La recourante ne prétend en outre pas que l’émolument réclamé serait supérieur à la couverture des coûts (principe d’équivalence ; sur ce principe, cf. ATF 143 I 220 consid. 5.2.2).</w:t>
      </w:r>
    </w:p>
    <w:p>
      <w:r>
        <w:rPr>
          <w:b/>
        </w:rPr>
        <w:t>E. 5</w:t>
      </w:r>
    </w:p>
    <w:p>
      <w:r>
        <w:t>En définitive, le recours, manifestement mal fondé, doit être rejeté en application de l’art. 322 al. 1 in fine CPC et la décision confirmée.</w:t>
      </w:r>
    </w:p>
    <w:p>
      <w:r>
        <w:t>- 8 - Les frais judiciaires de deuxième instance, arrêtés à 200 fr. (art. 69 al. 1 TFJC), sont mis à la charge de la recourante, qui succombe (art. 106 al. 1 CPC). Il n’y a pas lieu à l’allocation de dépens de deuxième instance, les parties intimées n’ayant pas été invitées à se déterminer. Par ces motifs, la Chambre des recours civile du Tribunal cantonal, prononce : I. Le recours est rejeté. II. La décision est confirmée. III. Les frais judiciaires de deuxième instance, arrêtés à 200 fr. (deux cents francs), sont mis à la charge de la recourante C.________AG.</w:t>
      </w:r>
    </w:p>
    <w:p>
      <w:r>
        <w:t>- 9 - IV. L’arrêt est exécutoire. Le président : La greffière : Du L'arrêt qui précède, dont la rédaction a été approuvée à huis clos, est notifié à : - Me Pierre-Xavier Schlaeppi (pour C.________AG), - Me Luc Pittet (pour V.________AG), -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