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PO19.046473 vom 28. Mai 2020</w:t>
      </w:r>
    </w:p>
    <w:p>
      <w:r>
        <w:t>VD Tribunal cantonal, 2020-05-28, FR</w:t>
      </w:r>
    </w:p>
    <w:p>
      <w:r>
        <w:rPr>
          <w:b/>
        </w:rPr>
        <w:t xml:space="preserve">Quelle: </w:t>
      </w:r>
      <w:r>
        <w:t>https://mcp.opencaselaw.ch/entscheid/vd_gerichte_PO19.046473</w:t>
      </w:r>
    </w:p>
    <w:p>
      <w:r>
        <w:t>FR: VD_GERICHTE PO19.046473 du 28 mai 2020</w:t>
      </w:r>
    </w:p>
    <w:p>
      <w:r>
        <w:t>IT: VD_GERICHTE PO19.046473 del 28 maggio 2020</w:t>
      </w:r>
    </w:p>
    <w:p>
      <w:pPr>
        <w:pStyle w:val="Heading2"/>
      </w:pPr>
      <w:r>
        <w:t>Erwägungen</w:t>
      </w:r>
    </w:p>
    <w:p>
      <w:r>
        <w:rPr>
          <w:b/>
        </w:rPr>
        <w:t>E. 22</w:t>
      </w:r>
    </w:p>
    <w:p>
      <w:r>
        <w:t>août 2019, en faveur de B.________, n [...], sur l’immeuble dont X.________ est propriétaire sur le territoire de la commune de Lausanne (I), a dit que l’inscription provisoire de l’hypothèque légale resterait valable jusqu’à l’échéance d’un délai de 3 mois après droit connu sur le fond du litige (II), a imparti à la requérante un délai au 15 avril 2020 pour déposer une demande, sous peine de caducité des mesures provisionnelles ordonnées (III), a dispensé la requérante de fournir des sûretés au sens de l’art. 264 al. 1 CPC (IV), a arrêté les frais judiciaires de la procédure provisionnelle, y compris les mesures superprovisionnelles et l’émolument du registre foncier, à 1’210 fr. à la charge de X.________ (V), a dit que X.________ rembourserait à L.________ un montant de 1'210 fr., versé à titre de son avance des frais judiciaires (VI), a dit que X.________ verserait à B.________ un montant de 2’000 fr. à titre de dépens (VII) et a rejeté toutes autres ou plus amples conclusions (VIII). En droit, le premier juge a retenu que B.________ (ci-après : la requérante) avait œuvré sur le chantier de X.________ (ci-après : l’intimée) entre le 18 juillet et le 5 août 2019. Le poste « installation de chantier », contesté par l’intimée, était relativement vague et devait être interprété à la lumière du devis du 17 avril 2019, dont il ressortait qu’il s’agissait notamment du déplacement des machines et des outils nécessaires, ainsi que du mesurage et du piquetage des surfaces et des hauteurs. S’appuyant sur les photographies produites, sur le courriel du 5 août 2019 de la requérante et sur l’estimation établie par celle-ci le 23 juillet 2019, approuvée par le directeur des travaux, le premier juge a retenu que l’installation de chantier avait d’ores et déjà été entamée et que ce poste ne pouvait être retranché des factures. Le poste relatif à l’abattage de</w:t>
      </w:r>
    </w:p>
    <w:p>
      <w:r>
        <w:t>- 3 - l’arbre, n’impliquant que la pré-organisation de cette tâche, ne pouvait pas non plus être retranché, nonobstant le fait que ce travail avait finalement été réalisé par une tierce entreprise. Le terrassement autour de l’immeuble, respectivement le remblaiement et le débroussaillage découlait, quant à lui, des photographies qui montraient la présence d’une pelle mécanique sur le terrain ainsi que le sol fraîchement retourné et aplani. Il ressortait du courriel du 24 juillet 2019 que la requérante était entravée dans l’avancement des travaux relatifs au socle de la pompe à chaleur et aux introductions au bâtiment, ce qui impliquait implicitement que ces travaux figurant dans les factures du 26 juillet et 7 août 2019 avaient été pour le moins commencés. Une tranchée avait été creusée sur la route en direction de l’immeuble pour les raccordements. La requérante avait aussi informé dans le courriel du 24 juillet 2019 qu’elle allait s’occuper le jour même du nettoyage, de l’évacuation des déchets et du déplacement des palettes de dalles. Le déplacement de celles-ci n’avait pas été fait mais n’avait pas non plus été facturé. Pour ce qui est du nettoyage, rien au dossier ne permettait de déduire avec certitude que la requérante ne s’y était pas attelée. S’agissant de l’installation du saut-de- loup et des tuyaux PVC, il était vraisemblable qu’un travail avait été effectué dans ce sens, dès lors que le poste y relatif présentait une description détaillée, comportant des interrogations ou des remarques adressées au directeur des travaux, et que des tuyaux et le bloc extérieur de la pompe à chaleur étaient présents sur le chantier. L’intimée n’avaient par ailleurs pas démontré ni allégué que certains postes se recoupaient ou étaient facturés à double. Par ailleurs, le premier juge a indiqué, s’agissant de l’abandon de chantier, que le juge du fond pourra, le cas échéant, déterminer, lors de la fixation de la créance due par l’intimée à la requérante, les motifs de la résiliation anticipée du contrat liant les parties et les prétentions qui en découleraient. Enfin, il a admis, au stade des mesures provisionnelles, que l’hypothèque légale pouvait couvrir les frais liés à une résiliation anticipée du contrat, dès lors que le fait de retirer les machines et outils du chantier ainsi que la sécurisation des trous restants répondaient, à quelque moment que ce soit, à la définition des prestations matérielles fournies sur l’immeuble.</w:t>
      </w:r>
    </w:p>
    <w:p>
      <w:r>
        <w:t>- 4 - B. Par acte du 27 février 2020, X.________, représentée par son administrateur, a interjeté appel contre cette ordonnance, en concluant, avec suite de frais et dépens, à son annulation et au renvoi de la cause au premier juge pour corriger l’état de fait et rendre une nouvelle décision conforme au droit. Subsidiairement, l’appelante a conclu à la réforme de l’ordonnance précitée en ce sens que le montant de l’inscription provisoire de l’hypothèque légale des artisans et entrepreneurs soit ramenée à 20'239 fr. et à ce que les frais et dépens suivent le sort de la cause au fond. Par réponse du 1er mai 2020, B.________ a conclu au rejet de l’appel. C. La juge déléguée retient les faits pertinents suivants, sur la base de l’ordonnance complétée par les pièces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