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PO11.025793 vom 9. Januar 2013</w:t>
      </w:r>
    </w:p>
    <w:p>
      <w:r>
        <w:t>VD Tribunal cantonal, 2013-01-09, FR</w:t>
      </w:r>
    </w:p>
    <w:p>
      <w:r>
        <w:rPr>
          <w:b/>
        </w:rPr>
        <w:t xml:space="preserve">Quelle: </w:t>
      </w:r>
      <w:r>
        <w:t>https://mcp.opencaselaw.ch/entscheid/vd_gerichte_PO11.025793</w:t>
      </w:r>
    </w:p>
    <w:p>
      <w:r>
        <w:t>FR: VD_GERICHTE PO11.025793 du 9 janvier 2013</w:t>
      </w:r>
    </w:p>
    <w:p>
      <w:r>
        <w:t>IT: VD_GERICHTE PO11.025793 del 9 gennaio 2013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l'appel doit être rejeté en application de l'art. 312 al. 1 CPC et le jugement entrepris confirmé. Les frais judiciaires de deuxième instance, arrêtés à 1'332 fr. (art. 62 al. 1 et 2 TFJC [tarif des frais judiciaires civils du 28 septembre 2010, RSV 270.11.5]), seront mis à la charge de l'appelante qui succombe (art. 106 al. 1 CPC).</w:t>
      </w:r>
    </w:p>
    <w:p>
      <w:r>
        <w:t>- 11 - Il n’y a pas lieu d’allouer de dépens, dès lors que l’intimée n’a pas été invitée à se déterminer sur l’appel et n’a donc pas encouru de frais pour la procédure de deuxième instance (cf. art. 95 al. 3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