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PM25.018995 vom 30. September 2025</w:t>
      </w:r>
    </w:p>
    <w:p>
      <w:r>
        <w:t>VD Tribunal cantonal, 2025-09-30, FR</w:t>
      </w:r>
    </w:p>
    <w:p>
      <w:r>
        <w:rPr>
          <w:b/>
        </w:rPr>
        <w:t xml:space="preserve">Quelle: </w:t>
      </w:r>
      <w:r>
        <w:t>https://mcp.opencaselaw.ch/entscheid/vd_gerichte_PM25.018995</w:t>
      </w:r>
    </w:p>
    <w:p>
      <w:r>
        <w:t>FR: VD_GERICHTE PM25.018995 du 30 septembre 2025</w:t>
      </w:r>
    </w:p>
    <w:p>
      <w:r>
        <w:t>IT: VD_GERICHTE PM25.018995 del 30 settembre 2025</w:t>
      </w:r>
    </w:p>
    <w:p>
      <w:pPr>
        <w:pStyle w:val="Heading2"/>
      </w:pPr>
      <w:r>
        <w:t>Erwägungen</w:t>
      </w:r>
    </w:p>
    <w:p>
      <w:r>
        <w:rPr>
          <w:b/>
        </w:rPr>
        <w:t>E. 1.1.1</w:t>
      </w:r>
    </w:p>
    <w:p>
      <w:r>
        <w:t>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(Code de procédure pénale suisse du 5 octobre 2007 ; RS 312.0) est applicable (art. 3 al. 1 et 2 PPMin). Aux termes de l’art. 19 al. 1 PPMin, le prévenu mineur agit au travers de ses représentants légaux. S’il est capable de discernement, il peut toutefois exercer de manière indépendante ses droits de partie (art. 19 al. 2 PPMin). Le prévenu mineur capable de discernement peut en effet exercer seul ses droits strictement personnels (art. 19 al. 1 et 19c CC [Code civil suisse du 10 décembre 1907 ; RS 210]). Mineurs et représentants légaux deviennent alors chacun des parties à la procédure (cf. art. 18 let. b PPMin), qui peuvent agir indépendamment l’un de l’autre (Jeanneret/ Ferreira, Les parties et leurs droits, in : Bohnet/Kuhn [éd.], La procédure pénale applicable aux mineurs, Neuchâtel 2011, n. 17 p. 40).</w:t>
      </w:r>
    </w:p>
    <w:p>
      <w:r>
        <w:rPr>
          <w:b/>
        </w:rPr>
        <w:t>E. 1.1.2</w:t>
      </w:r>
    </w:p>
    <w:p>
      <w:r>
        <w:t>Selon la jurisprudence rendue sous l'ancien droit – qui reste applicable –, la procédure de levée des scellés vise à garantir que les secrets éventuellement contenus dans les éléments saisis en vue d'être perquisitionnés soient protégés (cf. art. 246-248 CPP). Dans ce cadre, les conditions générales relatives aux mesures de contrainte au sens de l'art. 197 CPP, dont le principe de la proportionnalité de la perquisition ou l'existence de soupçons suffisants, peuvent être examinées à titre</w:t>
      </w:r>
    </w:p>
    <w:p>
      <w:r>
        <w:t>- 4 - accessoire par le juge de la levée des scellés (ATF 151 IV 175 consid. 3.3.2 ; ATF 151 IV 30 consid. 4.3 ; ATF 141 IV 77 consid. 4.3). La procédure de levée des scellés n'a cependant pas vocation à vérifier, indépendamment de tout secret, la légalité de la mesure de contrainte, dont sa proportionnalité. Ainsi, lorsque la perquisition n'a abouti à aucune saisie de données ou que le détenteur, respectivement l'ayant droit, ne peut invoquer aucun motif permettant l'apposition des scellés (cf. art. 264 CPP par renvoi de l'art. 248 al. 1 CPP), les griefs visant la mesure de contrainte doivent être soulevés dans le cadre d'un recours au sens de l'art. 393 CPP (ATF 151 IV 175 consid. 3.3.2 et les références citées ; ATF 151 IV 30 consid. 4.3 ; ATF 144 IV 74 consid. 2.3-2.7)).</w:t>
      </w:r>
    </w:p>
    <w:p>
      <w:r>
        <w:rPr>
          <w:b/>
        </w:rPr>
        <w:t>E. 1.2</w:t>
      </w:r>
    </w:p>
    <w:p>
      <w:r>
        <w:t>En l’espèce, le recours a été signé tant par D.________, âgé de 17 ans et donc mineur (art. 3 al. 1 DPMin), que par sa mère. La capacité de discernement de D.________ n’étant au demeurant pas mise en doute et celui-ci étant prévenu, l’acte a été valablement déposé par une partie disposant de la qualité pour recourir (art. 38 al. 1 PPMin et 382 al. 1 CPP). On peut en revanche se demander si la voie du recours au sens de l’art. 393 CPP (par renvoi de l’art. 39 al. 1 PPMin) est ouverte. Il convient cependant d’entrer en matière en l’espèce sans qu’il soit nécessaire de trancher cette question. En effet, l’autorité pénale étant seule habilitée à saisir le Tribunal des mesures de contrainte en matière de scellés, une irrecevabilité du recours aurait pour effet que D.________ ne disposerait d’aucun moyen de contester la décision de refus d’apposition des scellés, consacrant ainsi un déni de justice (cf. ATF 151 IV 175 consid. 2.3.2).</w:t>
      </w:r>
    </w:p>
    <w:p>
      <w:r>
        <w:rPr>
          <w:b/>
        </w:rPr>
        <w:t>E. 2.1.1</w:t>
      </w:r>
    </w:p>
    <w:p>
      <w:r>
        <w:t>Le recourant invoque une atteinte à son droit à la vie privée, son téléphone contenant des documents, photos, données médicales et bancaires de nature privée et confidentielle. Cette atteinte serait disproportionnée dans la mesure où seul un graffiti, dont il a reconnu la responsabilité, lui serait reproché. La consultation des données contenues dans son téléphone ne serait ainsi pas nécessaire pour élucider les faits en cause.</w:t>
      </w:r>
    </w:p>
    <w:p>
      <w:r>
        <w:t>- 5 -</w:t>
      </w:r>
    </w:p>
    <w:p>
      <w:r>
        <w:rPr>
          <w:b/>
        </w:rPr>
        <w:t>E. 2.1.2</w:t>
      </w:r>
    </w:p>
    <w:p>
      <w:r>
        <w:t>Le premier juge relève que, contrairement à ce que le recourant soutient, il ne lui est pas uniquement reproché d’être l’auteur d’un graffiti, puisqu’il est soupçonné d’être à l’origine d’un grand nombre de graffitis dans le canton de Vaud. Il relève également que le recourant n’apporte aucun élément concret pour étayer sa position.</w:t>
      </w:r>
    </w:p>
    <w:p>
      <w:r>
        <w:rPr>
          <w:b/>
        </w:rPr>
        <w:t>E. 2.2</w:t>
      </w:r>
    </w:p>
    <w:p>
      <w:r>
        <w:t>Conformément à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Selon la jurisprudence, on parle de perquisition de documents et enregistrements au sens de l’art. 246 CPP lorsque les documents ou les supports de données sont lus ou examinés en fonction de leur contenu ou de leur nature, afin de déterminer leur valeur probante, de les saisir le cas échéant et de les verser au dossier (ATF 149 IV 352 consid. 1.3.1, JdT 2024 IV 148 ; ATF 144 IV 74 consid. 2.1, JdT 2018 IV 170 ; ATF 143 IV 270 consid. 4.4, JdT 2017 IV 384). Aux termes de l’art. 248 al. 1 CPP, si le détenteur s’oppose au séquestre de certains documents, enregistrements ou autres objets en vertu de l’art. 264 CPP,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(al. 1). L’art. 264 al. 1 CPP dispose que, quels que soient l’endroit où ils se trouvent et le moment où ils ont été conçus, ne peuvent être séquestrés les documents concernant des contacts entre le prévenu et son défenseur (let. a ),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et les</w:t>
      </w:r>
    </w:p>
    <w:p>
      <w:r>
        <w:t>- 6 - objets et les documents concernant des contacts entre une autre personne et son avocat, si celui-ci est autorisé à pratiquer la représentation en justice en vertu de la LLCA (loi fédérale sur la libre circulation des avocats du 23 juin 2000 ; RS 935.61) et n’a pas le statut de prévenu dans la même affaire (let. d). Conformément à l’art. 248 al. 3 CPP, si l’autorité pénale ne demande pas la levée des scellés dans les 20 jours, les documents, enregistrements et autres objets mis sous scellés sont restitués au détenteur. Aux termes de l’art. 248a CPP, si l’autorité pénale demande la levée des scellés, le tribunal des mesures de contrainte est compétent pour statuer sur cette demande dans le cadre de la procédure préliminaire et de la procédure devant le tribunal de première instance (al. 1 let. a) et, dans les autres cas, la direction de la procédure du tribunal saisi de la cause est compétente (al. 1 let. b). Le tribunal statue définitivement (al. 4 et 5). Selon la jurisprudence, le ministère public peut écarter d'emblée une demande de mise sous scellés lorsque celle-ci est notamment manifestement mal fondée, abusive ou tardive, ainsi que si la légitimation du requérant fait manifestement défaut (TF 1B_321/2022 du 30 novembre 2022 consid. 2.1 et les références citées).</w:t>
      </w:r>
    </w:p>
    <w:p>
      <w:r>
        <w:rPr>
          <w:b/>
        </w:rPr>
        <w:t>E. 2.3</w:t>
      </w:r>
    </w:p>
    <w:p>
      <w:r>
        <w:t>En l’espèce, bien que le premier juge n’ordonne pas la perquisition du téléphone séquestré, il est possible de comprendre que le but sera de procéder à sa perquisition dès que la décision sera devenue définitive. Lors de son audition du 2 septembre 2025, questionné sur une potentielle perquisition de son téléphone, le recourant s’y était opposé en invoquant la présence de données privées et avait demandé la mise sous scellés de l’appareil (PV aud. 1, R. 7 et 8). Dans son acte de recours, il a ajouté que son téléphone contiendrait également des données médicales et bancaires. Il s’agit d’éléments tombant dans le champ d’application de l’art. 264 al. 1 let. b et c CPP. Le Président du Tribunal des mineurs ne pouvait ainsi considérer que la demande de mise sous scellés était d’emblée manifestement mal fondée, abusive ou tardive au sens de la</w:t>
      </w:r>
    </w:p>
    <w:p>
      <w:r>
        <w:t>- 7 - jurisprudence rappelée ci-dessus (cf. consid. 2.2 supra). Dans ces conditions, il se devait de mettre le téléphone sous scellés et, s’il le souhaitait, de demander leur levée dans un délai de 20 jours, conformément à l’art. 248 CPP.</w:t>
      </w:r>
    </w:p>
    <w:p>
      <w:r>
        <w:rPr>
          <w:b/>
        </w:rPr>
        <w:t>E. 3</w:t>
      </w:r>
    </w:p>
    <w:p>
      <w:r>
        <w:t>Au vu de ce qui précède, le recours doit être admis. Le chiffre II du dispositif de l’ordonnance entreprise doit être annulé ; l’ordonnance est maintenue pour le surplus. Le dossier de la cause sera renvoyé au Président du Tribunal des mineurs pour qu’il procède dans le sens des considérants. Les frais de la procédure de recours, constitués en l’espèce du seul émolument d’arrêt, par 385 fr. (art. 20 al. 1 et 2 TFIP [tarif des frais de procédure et indemnités en matière pénale du 28 septembre 2010 ; BLV 312.03.1]), seront laissés à la charge de l’Etat. Par ces motifs, la Chambre des recours pénale prononce : I. Le recours est admis. II. Le chiffre II du dispositif de l’ordonnance du 4 septembre 2025 est annulé. L’ordonnance est maintenue pour le surplus. III. Le dossier de la cause est renvoyé au Président du Tribunal des mineurs pour qu’il procède dans le sens des considérants. IV. Les frais d’arrêt, par 385 fr. (trois cent huitante-cinq francs), sont laissés à la charge de l’Etat. V. L’arrêt est exécutoire. Le président : Le greffier :</w:t>
      </w:r>
    </w:p>
    <w:p>
      <w:r>
        <w:t>- 8 - Du Le présent arrêt, dont la rédaction a été approuvée à huis clos, est notifié, par l'envoi d'une copie complète, à : - D.________, - F.________,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