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PM25.008198 vom 6. Juni 2025</w:t>
      </w:r>
    </w:p>
    <w:p>
      <w:r>
        <w:t>VD Tribunal cantonal, 2025-06-06, FR</w:t>
      </w:r>
    </w:p>
    <w:p>
      <w:r>
        <w:rPr>
          <w:b/>
        </w:rPr>
        <w:t xml:space="preserve">Quelle: </w:t>
      </w:r>
      <w:r>
        <w:t>https://mcp.opencaselaw.ch/entscheid/vd_gerichte_PM25.008198</w:t>
      </w:r>
    </w:p>
    <w:p>
      <w:r>
        <w:t>FR: VD_GERICHTE PM25.008198 du 6 juin 2025</w:t>
      </w:r>
    </w:p>
    <w:p>
      <w:r>
        <w:t>IT: VD_GERICHTE PM25.008198 del 6 giugno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w:t>
      </w:r>
    </w:p>
    <w:p>
      <w:r>
        <w:t>- 3 - décision du Ministère public ordonnant un prélèvement d’ADN fondée sur l’art. 255 CPP peut faire l’objet d’un recours au sens des art. 393 ss CPP (cf. notamment CREP 25 mars 2025/207,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l’ordonnance contestée a été expédiée sous pli simple au conseil du recourant le 12 mai 2025 et reçue le lendemain 13 mai 2025, de sorte que le recours, interjeté en temps utile auprès de l’autorité compétente par le prévenu qui a la qualité pour recourir (art. 382 CPP) et dans les formes prescrites (art. 385 al. 1 CPP), est recevable.</w:t>
      </w:r>
    </w:p>
    <w:p>
      <w:r>
        <w:rPr>
          <w:b/>
        </w:rPr>
        <w:t>E. 2.1</w:t>
      </w:r>
    </w:p>
    <w:p>
      <w:r>
        <w:t>Le recourant se plaint d’une violation de son droit d’être entendu dans la mesure où l’ordonnance entreprise serait motivée de manière insuffisamment individualisée.</w:t>
      </w:r>
    </w:p>
    <w:p>
      <w:r>
        <w:rPr>
          <w:b/>
        </w:rPr>
        <w:t>E. 2.2.1</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w:t>
      </w:r>
    </w:p>
    <w:p>
      <w:r>
        <w:t>- 4 -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(ATF 141 V 557 consid. 3.2.1 ; TF 6B_42/2024 du 31 mars 2025 consid. 2.1). Le droit d’être entendu est une garantie constitutionnelle de caractère formel, dont la violation doit entraîner l’annulation de la décision, indépendamment des chances de succès du recours sur le fond (ATF 143 IV 380 consid. 1.4.1 ; TF 7B_950/2024, 7B_976/2024 du 15 novembre 2024 consid. 3.2.2). Selon la jurisprudence, sa violation peut cependant être réparée lorsque la partie lésée a la possibilité de s'exprimer devant une autorité de recours jouissant d'un plein pouvoir d'examen (TF 7B_662/2024 du 9 octobre 2024 consid. 3.2.2). La Chambre des recours pénale dispose d’un tel pouvoir d’examen (art. 391 al. 1 et 393 al. 2 CPP ; cf. notamment TF 7B_394/2024 du 12 juin 2024 consid.</w:t>
      </w:r>
    </w:p>
    <w:p>
      <w:r>
        <w:rPr>
          <w:b/>
        </w:rPr>
        <w:t>E. 2.2.2</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w:t>
      </w:r>
    </w:p>
    <w:p>
      <w:r>
        <w:t>- 5 - L’art. 197 al. 1 CPP rappelle ces principes en précisant que les mesures de contrainte ne peuvent être prises que si elles sont prévues par la loi (let. a), si des soupçons suffisants laissent présumer une infraction (let. b), si les buts poursuivis ne peuvent pas être atteintes par des mesures moins sévères (let. c) et si elles apparaissent justifiées au regard de la gravité de l’infraction (let. d). Par ailleurs, le soupçon doit préexister à la mesure de contrainte ; le contraire reviendrait à permettre de construire le soupçon et de justifier après coup la mesure de contrainte (« fishing expedition » ; TF 7B_152/2023 du 2 juillet 2024 consid. 2.2.4 et les références citées).</w:t>
      </w:r>
    </w:p>
    <w:p>
      <w:r>
        <w:rPr>
          <w:b/>
        </w:rPr>
        <w:t>E. 2.2.3</w:t>
      </w:r>
    </w:p>
    <w:p>
      <w:r>
        <w:t>Selon l’art. 255 al. 1 let. a CPP, dans sa teneur au 1er janvier 2024 (RO 2023 p. 468),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est conforme au principe de la proportionnalité que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l'absence d'antécédents n'empêche pas encore de prélever un échantillon et d'établir le profil d’ADN de celui-ci, mais il faudra tenir compte de cet</w:t>
      </w:r>
    </w:p>
    <w:p>
      <w:r>
        <w:t>- 6 - élément dans la pesée d'intérêts à réaliser (ATF 145 IV 263 précité et les références citées ; TF 7B_938/2024 du 31 mars 2025, consid. 2.1.3). L’art. 257 CPP, dans sa teneur au 1er janvier 2024 (RO 2023 p. 468), quant à lui, permet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CREP 10 février 2025/53, consid. 3.2.2).</w:t>
      </w:r>
    </w:p>
    <w:p>
      <w:r>
        <w:rPr>
          <w:b/>
        </w:rPr>
        <w:t>E. 2.3</w:t>
      </w:r>
    </w:p>
    <w:p>
      <w:r>
        <w:t>En l’espèce, l’ordonnance attaquée est effectivement motivée de manière très sommaire et peu concrète. S’agissant de l’infraction de brigandage, la procureure ne précise pas en quoi l’analyse de l’ADN du</w:t>
      </w:r>
    </w:p>
    <w:p>
      <w:r>
        <w:t>- 7 - recourant serait pertinente pour établir les faits, mais se limite à évoquer « une comparaison avec les traces prélevées sur les lieux et les personnes ». Elle n’expose pas davantage pourquoi et comment l’ADN du recourant permettrait d’élucider le déroulement des faits et ainsi les infractions présumées, dès lors que la victime elle-même ([...]) a exposé dans son audition que l’individu n° 1 (à savoir le prévenu) n’était pas celui qui avait brandi le couteau et qu’il est au demeurant possible que le prévenu ait été mis en contact avec le couteau avant ou après l’altercation. S’agissant de la comparaison évoquée, la procureure ne motive pas in concreto cet argument. Si on peut imaginer qu’une comparaison ADN ferait du sens afin de déterminer si le prévenu a effectivement serré le cou de la victime, il conviendrait de l’exposer, faute de quoi on ignore quelles sont les mesures réellement envisagées et si celles-ci sont possibles ou si aucun prélèvement organique n’a été effectué sur la victime. L’adéquation de la mesure envisagée face aux possibilités qu’elle offre d’élucider les faits de l’espèce n’est pas abordée. Le motif déduit du prélèvement d’ADN pour « élucider » d’autres délits ou crimes qui n’ont pas pu être élucidés ne convainc pas davantage, dès lors qu’il ressort de la base de données des autorités que le prévenu est arrivé fin octobre 2024 en Suisse et que la procureure ne fait nullement référence à d’autres infractions contre le patrimoine qui auraient été commises depuis lors par un ou deux individus agissant de concert et selon un mode opératoire similaire. S’agissant de l’infraction à la loi fédérale sur les stupéfiants, le prévenu a admis une consommation personnelle de shit et de cocaïne. Pour le reste, aucun trafic ne lui est reproché, de sorte qu’en l’absence de toute motivation, il est difficile de cerner quelles infractions pourraient être élucidées grâce au profil ADN du prévenu. Quant aux infractions à la LEI, on peine à comprendre – faute de toute motivation à ce sujet – quel est l’intérêt de l’établissement d’un profil ADN.</w:t>
      </w:r>
    </w:p>
    <w:p>
      <w:r>
        <w:t>- 8 - Le principe de proportionnalité n’a eu outre pas été abordé par la Procureure. L’adéquation de la mesure ordonnée n’ayant pas été examinée, a fortiori sa proportionnalité ne l’a-t-elle pas été. Il résulte de ce qui précède que l’ordonnance querellée viole le droit d’être entendu du recourant, informalité que la Chambre de céans ne peut pas réparer. Pour que le recourant puisse bénéficier de la garantie de la double instance, il convient donc de renvoyer la cause au Ministère public pour qu’il rende une nouvelle décision (cf. CREP 30 avril 2025/304 consid. 2.3 ; CREP 17 juin 2023/449 consid. 2.3 et les arrêts cités). L’admission du recours et le renvoi de la cause au Ministère public dispensent l’autorité d’examiner les autres griefs du recourant.</w:t>
      </w:r>
    </w:p>
    <w:p>
      <w:r>
        <w:rPr>
          <w:b/>
        </w:rPr>
        <w:t>E. 3</w:t>
      </w:r>
    </w:p>
    <w:p>
      <w:r>
        <w:t>En définitive, le recours doit être admis et l’ordonnance entreprise annulée, le dossier de la cause étant renvoyé au Ministère public pour nouvelle décision motivée dans un délai de dix jours dès la notification du présent arrêt, à défaut de quoi le prélèvement d’ADN concerné, non exploitable, devra être détruit. Le recourant réclame une indemnité pour les activités de son avocat d’office, à concurrence de 7,83 heures. Le nombre d’heures effectuées par l’avocate stagiaire (6,63) est très élevé compte tenu de la simplicité de la cause. Au vu du travail accompli, il sera néanmoins retenu, ex aequo et bono, respectivement 6,63 heures d’activité nécessaire d’avocat-stagiaire et 0,5 heure d’activité d’avocat, cette durée étant suffisante pour la relecture du mémoire de recours par le maître de stage. Pour le reste, l’intervention d’un deuxième avocat n’était pas nécessaire dans une affaire de peu de complexité ; enfin, vu le caractère élevé du nombre d’heures indemnisées, l’indemnité comprendra les opérations ultérieures à la réception du présent arrêt. Au tarif horaire de 110 fr., respectivement de 180 fr. (art. 2 al. 1 let. a et b et 3 al. 2 RAJ [règlement sur l'assistance judiciaire en matière civile du 7 décembre 2010 ; BLV 211.02.3] par renvoi de l'art. 26b TFIP [tarif des frais de procédure et indemnités en matière pénale du 28 septembre 2010 ; BLV 312.03.1]), l’indemnité s’élève à 819 fr. 30. S'y ajoutent 2 % pour les débours (art. 3bis</w:t>
      </w:r>
    </w:p>
    <w:p>
      <w:r>
        <w:t>- 9 - al. 1 RAJ par renvoi de l'art. 26b TFIP), à hauteur de 16 fr. 40, ainsi que la TVA. L’indemnité s’élève ainsi à 903 fr. 35. Vu l’issue du recours, les frais de la procédure de recours, constitués en l’espèce de l’émolument d’arrêt, par 990 fr. (art. 20 al. 1 TFIP), et des frais imputables à la défense d’office de B.________ (art. 422 al. 1 et 2 let. a CPP), seront laissés à la charge de l’Etat (art. 423 al. 1 et 428 al. 4 CPP). Par ces motifs, la Chambre des recours pénale prononce : I. Le recours est admis. II. L’ordonnance du 9 mai 2025 est annulée. III. Le dossier de la cause est renvoyé au Ministère public de l’arrondissement de Lausanne pour qu’il procède dans le sens des considérants dans un délai de dix jours dès la notification du présent arrêt, à défaut de quoi le prélèvement d’ADN n° 3362626523 devra être détruit. IV. L’indemnité allouée au défenseur de B.________ est fixée à 903 fr. 35 (neuf cent trois francs et trente-cinq centimes). V. Les frais d’arrêt, par 990 fr. (neuf cent nonante francs), ainsi que l’indemnité due au défenseur d’office de B.________, par 903 fr. 35 (neuf cent trois francs et trente-cinq centimes), sont laissés à la charge de l’Etat. VI. L’arrêt est exécutoire. Le président : Le greffier :</w:t>
      </w:r>
    </w:p>
    <w:p>
      <w:r>
        <w:t>- 10 - Du Le présent arrêt, dont la rédaction a été approuvée à huis clos, est notifié, par l'envoi d'une copie complète, à : - Me Malika Belet, avocate (pour B.________),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