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PM24.019350 vom 6. August 2025</w:t>
      </w:r>
    </w:p>
    <w:p>
      <w:r>
        <w:t>VD Tribunal cantonal, 2025-08-06, FR</w:t>
      </w:r>
    </w:p>
    <w:p>
      <w:r>
        <w:rPr>
          <w:b/>
        </w:rPr>
        <w:t xml:space="preserve">Quelle: </w:t>
      </w:r>
      <w:r>
        <w:t>https://mcp.opencaselaw.ch/entscheid/vd_gerichte_PM24.019350</w:t>
      </w:r>
    </w:p>
    <w:p>
      <w:r>
        <w:t>FR: VD_GERICHTE PM24.019350 du 6 août 2025</w:t>
      </w:r>
    </w:p>
    <w:p>
      <w:r>
        <w:t>IT: VD_GERICHTE PM24.019350 del 6 agosto 2025</w:t>
      </w:r>
    </w:p>
    <w:p>
      <w:pPr>
        <w:pStyle w:val="Heading2"/>
      </w:pPr>
      <w:r>
        <w:t>Erwägungen</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La</w:t>
      </w:r>
    </w:p>
    <w:p>
      <w:r>
        <w:t>- 5 -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 cit.).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 cit.).</w:t>
      </w:r>
    </w:p>
    <w:p>
      <w:r>
        <w:rPr>
          <w:b/>
        </w:rPr>
        <w:t>E. 2.2</w:t>
      </w:r>
    </w:p>
    <w:p>
      <w:r>
        <w:t>En l’occurrence, la recourante ne discute pas les motifs qui ont conduit le président du tribunal à ordonner le classement de la procédure. Elle ne conteste pas que le mandat de comparution lui ait été régulièrement notifié, ni que la fiction de notification de l’art. 85 al. 4 let. a CPP trouvait à s’appliquer en l’espèce, ni que ledit mandat mentionnait bien la sanction prévue par la loi. Elle ne conteste pas non plus que la</w:t>
      </w:r>
    </w:p>
    <w:p>
      <w:r>
        <w:t>- 6 - conséquence de son défaut à l’audience de conciliation résidait dans la fiction du retrait de plainte, pas plus qu’elle ne s’en prend au constat du premier juge selon lequel la procédure pénale devait être classée, dès lors que les infractions pour lesquelles l’instruction avait été ouverte ne se poursuivaient que sur plainte (art. 126 al. 1 et 180 al. 1 CP). Les allégations de la recourante sont manifestement insuffisantes au regard des réquisits de motivation susmentionnés (cf. supra consid. 2.1), dès lors qu’elle ne développe aucun moyen qui serait dirigé contre les motifs retenus à l’appui du classement attaqué. Ne répondant pas aux exigences de motivation et dans la mesure où un tel défaut de motivation ne saurait justifier qu’un délai supplémentaire soit imparti à Z.________ pour compléter son acte, son recours du 21 mai 2025 est irrecevable.</w:t>
      </w:r>
    </w:p>
    <w:p>
      <w:r>
        <w:rPr>
          <w:b/>
        </w:rPr>
        <w:t>E. 3</w:t>
      </w:r>
    </w:p>
    <w:p>
      <w:r>
        <w:t>En définitive, le recours du 21 mai 2025 doit être déclaré irrecevable, sans échange d’écritures (art. 390 al. 2 CPP). Les frais de la procédure de recours, par 330 fr. (art. 20 al. 1 et 2 TFIP [Tarif des frais de procédure et indemnités en matière pénale du 28 septembre 2010 ; BLV 312.03.1]), seront mis à la charge de Z.________, qui succombe (art. 428 al. 1 CPP par renvoi de l’art. 44 al. 2 PPMin). Par ces motifs, la Chambre des recours pénale prononce : I. Le recours est irrecevable. II. Les frais d’arrêt, par 330 fr. (trois cent trente francs), sont mis à la charge de Z.________. III. L’arrêt est exécutoire. Le président : La greffière :</w:t>
      </w:r>
    </w:p>
    <w:p>
      <w:r>
        <w:t>- 7 - Du Le présent arrêt, dont la rédaction a été approuvée à huis clos, est notifié, par l'envoi d'une copie complète, à : - Mme Z.________, - Me Alain Dubuis, avocat (pour A.________), - Ministère public central, et communiqué à : - M. le Président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