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PM23.023957 vom 15. Januar 2024</w:t>
      </w:r>
    </w:p>
    <w:p>
      <w:r>
        <w:t>VD Tribunal cantonal, 2024-01-15, FR</w:t>
      </w:r>
    </w:p>
    <w:p>
      <w:r>
        <w:rPr>
          <w:b/>
        </w:rPr>
        <w:t xml:space="preserve">Quelle: </w:t>
      </w:r>
      <w:r>
        <w:t>https://mcp.opencaselaw.ch/entscheid/vd_gerichte_PM23.023957</w:t>
      </w:r>
    </w:p>
    <w:p>
      <w:r>
        <w:t>FR: VD_GERICHTE PM23.023957 du 15 janvier 2024</w:t>
      </w:r>
    </w:p>
    <w:p>
      <w:r>
        <w:t>IT: VD_GERICHTE PM23.023957 del 15 gennaio 2024</w:t>
      </w:r>
    </w:p>
    <w:p>
      <w:pPr>
        <w:pStyle w:val="Heading2"/>
      </w:pPr>
      <w:r>
        <w:t>Erwägungen</w:t>
      </w:r>
    </w:p>
    <w:p>
      <w:r>
        <w:rPr>
          <w:b/>
        </w:rPr>
        <w:t>E. 1.1</w:t>
      </w:r>
    </w:p>
    <w:p>
      <w:r>
        <w:t>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est applicable (art. 3 al. 1 et 2 PPMin). Selon l’art. 26 al. 1 let. a PPMin, l’autorité d’instruction – qui est, dans le canton de Vaud, le juge des mineurs (art. 3 al. 1 let. b et 8 LVPPMin [Loi d'introduction de la loi fédérale du 20 mars 2009 sur la procédure pénale applicable aux mineurs du 2 février 2010 ; BLV 312.05]) – est compétente pour ordonner les mesures de contrainte qui peuvent être ordonnées par le Ministère public aux termes du CPP (Code de procédure pénale suisse du 5 octobre 2007 ; RS 312.0). Le juge des mineurs, en tant qu’autorité d’instruction, est ainsi compétent pour rendre une ordonnance de séquestre au sens de l’art. 263 CPP. La recevabilité et les motifs du recours sont régis par l’art. 393 CPP (art. 39 al. 1 PPMin). Une ordonnance de séquestre au sens de l’art. 263 CPP est susceptible d’un recours au sens des art. 393 ss CPP (cf. notamment CREP 25 mars 2020/204 ; Moreillon/Parein-Reymond, Petit Commentaire, Code de procédure pénale, 2e éd., Bâle 2016, n. 24 ad art. 263 CPP). Le recours doit être adressé par écrit dans un délai de dix jours dès la notification de la décision attaquée (art. 384 let. b et 396 al. 1 CPP).</w:t>
      </w:r>
    </w:p>
    <w:p>
      <w:r>
        <w:t>- 5 - La compétence pour statuer sur les recours appartient à l'autorité de recours des mineurs (art. 39 al. 3 PPMin ; art. 7 al. 1 let. c PPMin) qui est, dans le canton de Vaud, la Chambre des recours pénale du Tribunal cantonal (art. 18 LVPPMin).</w:t>
      </w:r>
    </w:p>
    <w:p>
      <w:r>
        <w:rPr>
          <w:b/>
        </w:rPr>
        <w:t>E. 1.2</w:t>
      </w:r>
    </w:p>
    <w:p>
      <w:r>
        <w:t>En l’espèce, interjeté en temps utile devant l’autorité compétente par le prévenu mineur qui a qualité pour recourir (art. 38 al. 1 let. a PPMin ; art. 382 al. 1 CPP) et satisfaisant aux conditions de forme prescrites (art. 385 al. 1 CPP), le recours est recevable.</w:t>
      </w:r>
    </w:p>
    <w:p>
      <w:r>
        <w:rPr>
          <w:b/>
        </w:rPr>
        <w:t>E. 1.5</w:t>
      </w:r>
    </w:p>
    <w:p>
      <w:r>
        <w:t>; ATF 108 IV 196 consid. 1c). Le Tribunal fédéral a considéré que l'art. 19b al. 1 LStup est également applicable aux mineurs (ATF 145 IV 320 consid. 1). Dans un souci de protection des mineurs (Rapport 2006, FF 2006 pp. 8141 ss, spéc. p. 8181), l’art. 19b LStup exclut son application à un auteur majeur lorsque des mineurs sont susceptibles d’être impliqués dans le processus de consommation ; dans ce cas, l’art. 19bis LStup s’applique comme lex specialis ; en revanche, un auteur mineur peut aussi bénéficier de l’art. 19b LStup s’il prépare des stupéfiants en vue d’une consommation en commun, mais pour autant que ce soit uniquement en compagnie de majeurs (Grodecki/Jeanneret. op. cit., nn. 11 et 13 ad art. 19b LStup).</w:t>
      </w:r>
    </w:p>
    <w:p>
      <w:r>
        <w:rPr>
          <w:b/>
        </w:rPr>
        <w:t>E. 2.1</w:t>
      </w:r>
    </w:p>
    <w:p>
      <w:r>
        <w:t>Le recourant conteste le séquestre ordonné du sachet contenant un morceau brun de 4 grammes nets de résine de cannabis.</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Dans le cadre de l'examen d'un séquestre, l'autorité statue sous l'angle de la vraisemblance. La mesure doit pouvoir être ordonnée rapidement, ce qui exclut la résolution de questions juridiques complexes (ATF 141 IV 360 consid. 3.2 ; TF 1B_590/2022 du 20 avril 2023 consid. 2.1 ; TF 1B_398/2022 du 13 décembre 2022 consid. 5.3).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t>- 6 -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Jeanneret et al. [édit.], Commentaire romand, Code de procédure pénale suisse, 2e éd., Bâle 2019, n. 5 ad art. 263 CPP).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([Code pénal suisse du 21 décembre 1937 ; RS 311.0] ; Moreillon/Parein-Reymond, op. cit., n. 19 ad art. 263 CPP). Il s’agit d’une mesure conservatoire provisoire fondée sur la vraisemblance (ATF 143 IV 357 consid. 1.2.3 et les arrêts cités). Un séquestre est proportionné lorsqu’il porte sur des objets ou avoirs dont on peut admettre, prima facie, qu'ils pourront être confisqués en application du droit pénal fédéral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 ; ATF 140 IV 57 consid. 4.1.1 ; TF 1B_398/2022 du 13 décembre 2022 consid. 5.3). Un séquestre ne peut donc être levé que dans l'hypothèse où il est d'emblée manifeste et indubitable que les conditions matérielles d'une confiscation ne sont pas réalisées et ne pourront pas l'être (ATF 140 IV 133 consid. 4.2.1 ; ATF 139 IV 250 consid. 2.1)</w:t>
      </w:r>
    </w:p>
    <w:p>
      <w:r>
        <w:rPr>
          <w:b/>
        </w:rPr>
        <w:t>E. 2.2.2</w:t>
      </w:r>
    </w:p>
    <w:p>
      <w:r>
        <w:t>Aux termes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confiscation est possible même si l'auteur ne peut pas être identifié, s’il est décédé ou irresponsable ou s’il ne peut pas être poursuivi en Suisse pour d'autres raisons (ATF 132 II 178 consid. 4 et les références citées). Il doit y avoir un lien de connexité entre</w:t>
      </w:r>
    </w:p>
    <w:p>
      <w:r>
        <w:t>- 7 -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(ATF 137 IV 249 consid. 4.4 ; TF 6B_189/2022 du 30 novembre 2022 consid. 4.1). C’est l’usage qui est fait de l’objet lors de la commission de l’infraction ou sa destination prévue qui lui confère son caractère dangereux et justifie ainsi sa confiscation (ATF 103 IV 76 consid. 2 ; JdT 1978 IV 72 ; Dupuis et al., Petit commentaire, Code pénal, 2e éd., Bâle 2017, n. 11 ad art. 69 CP). Selon le Tribunal fédéral, des quantités minimes de stupéfiants ayant des effets de type cannabique, destinées à la consommation personnelle et dont la possession n'est pas punissable au sens de l'art. 19b al. 1 LStup, ne peuvent pas être confisquées (ATF 149 IV 307 consid. 2).</w:t>
      </w:r>
    </w:p>
    <w:p>
      <w:r>
        <w:rPr>
          <w:b/>
        </w:rPr>
        <w:t>E. 2.2.3</w:t>
      </w:r>
    </w:p>
    <w:p>
      <w:r>
        <w:t>L’art. 19bis LStup punit d’une peine privative de liberté de trois ans au plus ou d’une peine pécuniaire celui qui, sans indication médicale, propose, remet ou rend accessible de toute autre manière des stupéfiants à une personne de moins de 18 ans. Cette disposition, entrée en vigueur le 1er juillet 2011, consacre le but de protection accrue des mineurs en renforçant la répression à l’encontre des auteurs qui permettent à des mineurs d’accéder à des stupéfiants (Grodecki/Jeanneret [édit.], Petit commentaire LStup, Dispositions pénales, Bâle 2022, n. 1 ad art. 19bis LStup). Il s’agit de responsabiliser les adultes et accroitre la protection des mineurs par le rehaussement de l'âge de 16 ans initialement prévu à l'art. 136 CP à l'âge de 18 ans, érigeant l’art. 19bis LStup en lex specialis (TF 6B_687/2019 du 9 septembre 2019 consid. 1.3 ; cf. également Rapport du</w:t>
      </w:r>
    </w:p>
    <w:p>
      <w:r>
        <w:rPr>
          <w:b/>
        </w:rPr>
        <w:t>E. 2.3.1</w:t>
      </w:r>
    </w:p>
    <w:p>
      <w:r>
        <w:t>A l’appui de son acte, le recourant relève que l’autorité intimée a motivé sa décision « de manière abstraite et générique » en retenant que les objets pourraient être utilisés comme moyens de preuves et/ou confisqués.</w:t>
      </w:r>
    </w:p>
    <w:p>
      <w:r>
        <w:t>- 9 -</w:t>
      </w:r>
    </w:p>
    <w:p>
      <w:r>
        <w:rPr>
          <w:b/>
        </w:rPr>
        <w:t>E. 2.3.2</w:t>
      </w:r>
    </w:p>
    <w:p>
      <w:r>
        <w:t>Ce faisant, le recourant se limite à un reproche général concernant la motivation de l’ordonnance attaquée, sans aucunement développer son argumentation contrairement au devoir qui est le sien (cf. art. 385 al. 1 CPP). A supposer qu’il faille voir dans son recours un grief d’ordre formel au sens de l’art. 29 al. 2 Cst., celui-ci serait donc irrecevable et au surplus infondé. En effet, si la motivation de l’ordonnance attaquée est sommaire, il n’en demeure pas moins que le recourant a pu la contester dans le cadre de son acte de recours et faire valoir ses droits devant l’autorité de céans en présentant des moyens circonstanciés sur le fond. On ne saurait en conséquence considérer qu’il y aurait un vice d’ordre formel.</w:t>
      </w:r>
    </w:p>
    <w:p>
      <w:r>
        <w:rPr>
          <w:b/>
        </w:rPr>
        <w:t>E. 2.4.1</w:t>
      </w:r>
    </w:p>
    <w:p>
      <w:r>
        <w:t>Par ailleurs, le recourant considère que le raisonnement du premier juge, qui se fonde sur l’art. 263 al. 1 let. a et d CPP, est erroné. Il fait valoir que la simple détention de moins de 10 grammes de cannabis pour sa propre consommation n’est pas punissable, conformément à l’art. 19b al. 1 LStup, disposition applicable aux consommateurs mineurs. Il soutient qu’aucune saisine ou confiscation de stupéfiant n’est autorisée lorsque le prévenu détient moins de 10 grammes de cannabis pour sa propre consommation. Le recourant en déduit que la possession de</w:t>
      </w:r>
    </w:p>
    <w:p>
      <w:r>
        <w:rPr>
          <w:b/>
        </w:rPr>
        <w:t>E. 2.4.2</w:t>
      </w:r>
    </w:p>
    <w:p>
      <w:r>
        <w:t>En l’espèce, les 4 grammes nets de résine de cannabis ont été saisis par la police à la suite de la fouille du recourant le 7 décembre 2023. Celui-ci avait été interpellé au volant d’un véhicule automobile volé, alors qu’il n’est pas titulaire du permis de conduire, après qu’il aurait fait une course poursuite en ville. Il a été testé positif au THC. Auditionné par la police, le recourant a refusé de répondre aux questions au sujet de la drogue retrouvée sur lui. Par la suite, au cours de son audition du 11 décembre 2023, il a expliqué aux policiers qu’il consommait du haschich et fumait de temps en temps un joint « profitant de la générosité de ses amis ». Compte tenu de ces circonstances, cela signifie que le recourant, mineur – il est âgé de 15 ans –, s’est vu remettre de la drogue par un tiers. Or il faut considérer que la remise de stupéfiants à un mineur constitue un délit en vertu de l’art. 19bis LStup, dont son auteur répond pénalement. En outre, quoi que prétende le recourant, l’art. 19b LStup ne s’applique pas à l’auteur, tant majeur que mineur, si des personnes de moins de 18 ans sont susceptibles d’être impliquées dans le processus de consommation. Ces dispositions prohibent la fourniture de stupéfiant à des mineurs. Il en découle que la remise de haschich au recourant est clairement illégale et a fortiori punissable. Les 4 grammes nets de résine de cannabis trouvés en sa possession représentent dès lors le produit de cette infraction, respectivement ont manifestement une origine criminelle, de sorte qu’ils sont susceptibles d’être confisqués et, partant, séquestrés. Le recourant ne saurait du reste valablement invoquer la garantie de la propriété. Au sujet de la confiscation, les conditions de l’art. 69 al. 1 CP apparaissent remplies : d’une part, il est évident qu’il existe un lien direct entre l’infraction de l’art. 19bis CP et la drogue précitée, fournie au recourant, puisqu’il s’agit du produit de cette infraction. Il importe peu que l’auteur de l’infraction de l’art. 19bis LStup soit inconnu, la confiscation demeurant possible dans ce cas. D’autre part, il est clair que la fourniture de haschich à un mineur compromet la santé publique et contrevient à la morale et à l’ordre public. On relève que le recourant a été appréhendé sous l’influence de stupéfiants au volant d’un véhicule automobile et que</w:t>
      </w:r>
    </w:p>
    <w:p>
      <w:r>
        <w:t>- 11 - le fait de lui rendre la résine de cannabis est de nature à mettre aussi en péril, à l’avenir, la sécurité de personnes. Ainsi, le séquestre confiscatoire de l’art. 263 al. 1 let. d CPP est justifié. Enfin, un séquestre probatoire au sens de l’art. 263 al. 1 let. a CPP s’avère également fondé. Dans le cadre de l’enquête en cours, le recourant est mis en cause pour avoir circulé sous l’influence de stupéfiants et il a été interpellé en possession des 4 grammes de résine de cannabis. On ne saurait exclure que ce haschich serve, directement ou indirectement, à la manifestation de la vérité ultérieurement.</w:t>
      </w:r>
    </w:p>
    <w:p>
      <w:r>
        <w:rPr>
          <w:b/>
        </w:rPr>
        <w:t>E. 2.5</w:t>
      </w:r>
    </w:p>
    <w:p>
      <w:r>
        <w:t>Au vu de l’ensemble des éléments qui précèdent, c’est donc à juste titre que la Présidente du Tribunal des mineurs a ordonné le séquestre du sachet contenant un morceau brun de 4 grammes nets de résine de cannabis, cette mesure de contrainte devant être confirmée. 3. 3.1 En définitive, le recours, manifestement mal fondé, doit être rejeté sans échange d’écritures (art. 390 al. 2 CPP) et l’ordonnance entreprise confirmée. 3.2 3.2.1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6B_646/2022 du 18 janvier 2023 consid. 3.1.1 ; TF 6B_866/2019 du 12 septembre 2019 consid. 3.1 ; TF 6B_1231/2018 du 20 mars 2019 consid. 2.1.1).</w:t>
      </w:r>
    </w:p>
    <w:p>
      <w:r>
        <w:t>- 12 -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2023/546 consid. 2.2 et les références citées). 3.2.2 Dans sa liste des opérations du 3 janvier 2024, Me Michaël Geiger indique avoir consacré à la présente affaire 3 heures et 50 minutes au total (en 2023 : 20 minutes pour l’examen de l’ordonnance de séquestre et un courrier explicatif au client ; 30 minutes pour des recherches juridiques et de jurisprudence ; 2 heures et 15 minutes pour la rédaction du recours / en 2024 : 35 minutes pour la relecture du recours et un courrier au Tribunal cantonal ; 10 minutes pour un courrier au Tribunal des mineurs), pour la période du 27 décembre 2023 au 3 janvier 2024. Vu la nature du litige et les difficultés de la cause, cette durée ne saurait être admise entièrement. En particulier, les 20 minutes pour l’examen de l’ordonnance de séquestre et un courrier explicatif au client sont exagérées, dès lors qu’une simple lecture permettait la prise de connaissance de l’ordonnance attaquée, qui fait une page. Il convient partant de retenir une durée adéquate pour cette opération de 10 minutes (-0h10). En outre, le temps comptabilisé pour la rédaction du recours totalisant 3 heures et 20 minutes ne se justifie pas, compte tenu de l’absence de complexité particulière, de l’acte de recours rédigé et du temps déjà compté pour des recherches juridiques. Il y a lieu de</w:t>
      </w:r>
    </w:p>
    <w:p>
      <w:r>
        <w:t>- 13 - retrancher 1 heure à ce titre (-1h00). Au final, c’est une durée totale adéquate de 2 heures et 40 minutes qui sera indemnisée (en 2023 : 1 heure et 55 minutes / en 2024 : 40 minutes).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Michaël Geiger, défenseur d’office d’Y.________, doit être fixée, pour les opérations effectuées jusqu’au 31 décembre 2023, à 379 fr., soit 345 fr. (1h55 x 180 fr.) à titre d’honoraires, 6 fr. 90 (2% [art. 3bis al. 1 RAJ] x 345 fr.) de débours forfaitaires et 27 fr. 10 (7.7% x 351 fr. 90 fr. [345 fr. + 6 fr. 90]) de TVA sur le tout (art. 2 al. 3 RAJ ; art. 25 al. 1 LTVA [Loi fédérale du 12 juin 2009 régissant la taxe sur la valeur ajoutée ; RS 641.20]), et, pour les opérations effectuées depuis le 1er janvier 2024, à 132 fr. 30, soit 120 fr. (0h40 x 180 fr.) à titre d’honoraires, 2 fr. 40 (2% x 120 fr.) de débours forfaitaires et 9 fr. 90 (8.1% x 122 fr. 40 fr. [120 fr. + 2 fr. 40]) de TVA sur le tout, ce qui porte l’indemnité totale à 511 fr. 30, arrondis à 512 francs. 3.3 Vu le sort du recours, les frais de la procédure, constitués en l’espèce de l’émolument d'arrêt, par 715 fr. (art. 20 al. 1 et 2 TFIP [Tarif des frais judiciaires et indemnités en matière pénale du 28 septembre 2010 ; BLV 312.03.1]), et des frais imputables à la défense d’office d’Y.________ (art. 422 al. 1 et 2 let. a CPP applicable par renvoi de l’art. 44 al. 2 PPMin), fixés à 512 fr., seront mis à la charge du recourant, qui succombe (art. 428 al. 1 CPP). Le remboursement à l'Etat de l'indemnité allouée au défenseur d'office du recourant ne sera exigible que pour autant que la situation financière de ce dernier le permette (art. 135 al. 4 CPP).</w:t>
      </w:r>
    </w:p>
    <w:p>
      <w:r>
        <w:t>- 14 - Par ces motifs, la Chambre des recours pénale prononce : I. Le recours est rejeté. II. L’ordonnance du 21 décembre 2023 est confirmée. III. L’indemnité allouée au défenseur d’office d’Y.________ est fixée à 512 fr. (cinq cent douze francs). IV. Les frais d’arrêt, par 715 fr. (sept cent quinze francs), ainsi que l’indemnité due au défenseur d’office du recourant, par 512 fr. (cinq cent douze francs), sont mis à la charge du recourant Y.________. V. Le remboursement à l’Etat de l’indemnité allouée au chiffre III ci-dessus ne sera exigible que pour autant que la situation financière d’Y.________ le permette. VI. L’arrêt est exécutoire. Le président : La greffière : Du Le présent arrêt, dont la rédaction a été approuvée à huis clos, est notifié, par l'envoi d'une copie complète, à : - Me Michaël Geiger, avocat (pour Y.________), - Ministère public central, et communiqué à : - Mme la Présidente du Tribunal des mineurs, - Service pénitentiaire (bureau des séquestres),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4</w:t>
      </w:r>
    </w:p>
    <w:p>
      <w:r>
        <w:t>grammes nets de résine de cannabis pour sa consommation personnelle est licite, qu’aucune infraction n’est réalisée et que l’art. 69 CP, applicable par renvoi de l’art. 2 let. de DPMin, ne saurait dès lors trouver application, y compris s’agissant d’une confiscation de sécurité. Le recourant invoque encore le fait que la confiscation des 4 grammes nets de résine de cannabis ne repose sur aucune base légale et que l’autorité d’instruction ne pourrait pas valablement se fonder sur le principe d’éducation de l’art. 2 al. 1 DPMin qui suppose la réalisation d’un comportement légalement interdit, respectivement punissable pénalement, le principe de la légalité primant sur celui d’éducation. Enfin, il estime que la confiscation litigieuse opérée sans base légale constitue une atteinte à la garantie de la propriété et ne respecte de surcroit pas le principe de la proportionnalité.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