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PM23.000835 vom 28. Oktober 2024</w:t>
      </w:r>
    </w:p>
    <w:p>
      <w:r>
        <w:t>VD Tribunal cantonal, 2024-10-28, FR</w:t>
      </w:r>
    </w:p>
    <w:p>
      <w:r>
        <w:rPr>
          <w:b/>
        </w:rPr>
        <w:t xml:space="preserve">Quelle: </w:t>
      </w:r>
      <w:r>
        <w:t>https://mcp.opencaselaw.ch/entscheid/vd_gerichte_PM23.000835</w:t>
      </w:r>
    </w:p>
    <w:p>
      <w:r>
        <w:t>FR: VD_GERICHTE PM23.000835 du 28 octobre 2024</w:t>
      </w:r>
    </w:p>
    <w:p>
      <w:r>
        <w:t>IT: VD_GERICHTE PM23.000835 del 28 ottobre 2024</w:t>
      </w:r>
    </w:p>
    <w:p>
      <w:pPr>
        <w:pStyle w:val="Heading2"/>
      </w:pPr>
      <w:r>
        <w:t>Erwägungen</w:t>
      </w:r>
    </w:p>
    <w:p>
      <w:r>
        <w:rPr>
          <w:b/>
        </w:rPr>
        <w:t>E. 5</w:t>
      </w:r>
    </w:p>
    <w:p>
      <w:r>
        <w:t>En définitive, l’appel doit être admis dans cette mesure et le jugement entrepris réformé dans le sens des considérants qui précèdent. Me Sarah El-Abshihy, défenseur d’office de S.________, a produit une liste d’opérations (P. 146), dans laquelle elle annonce avoir consacré 6h30 à son mandat d’office. Il n’y a pas lieu de s’écarter de cette liste. Il convient ainsi de retenir 6h30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1’170 francs. Viennent s’y ajouter des débours forfaitaires à hauteur de 2 % des honoraires admis (art. 3bis al. 1 RAJ), soit 23 fr. 40, et la TVA au taux de 8,1 % sur le tout, par 96 fr. 70. L’indemnité d’office s’élève ainsi à 1’290 fr. 05 au total en chiffres arrondis. Vu l’issue de la cause, les frais de la procédure d’appel, par 2’115 fr. 50, constitués en l’espèce de l'émolument de jugement, par 825 fr. (art. 21 al. 1 et 3 TFIP), ainsi que de l’indemnité allouée au défenseur d’office de S.________, par 1’290 fr. 05, seront mis par moitié à la charge de l’appelant, soit par 1'057 fr. 50 (art. 428 al. 1, 1re phrase, CPP), le solde étant laissé à la charge de l’Etat.</w:t>
      </w:r>
    </w:p>
    <w:p>
      <w:r>
        <w:t>- 16 - Le remboursement à l’Etat de la moitié de l’indemnité allouée au défenseur d’office sera exigible de l’appelant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