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PM22.002079 vom 12. April 2022</w:t>
      </w:r>
    </w:p>
    <w:p>
      <w:r>
        <w:t>VD Tribunal cantonal, 2022-04-12, FR</w:t>
      </w:r>
    </w:p>
    <w:p>
      <w:r>
        <w:rPr>
          <w:b/>
        </w:rPr>
        <w:t xml:space="preserve">Quelle: </w:t>
      </w:r>
      <w:r>
        <w:t>https://mcp.opencaselaw.ch/entscheid/vd_gerichte_PM22.002079</w:t>
      </w:r>
    </w:p>
    <w:p>
      <w:r>
        <w:t>FR: VD_GERICHTE PM22.002079 du 12 avril 2022</w:t>
      </w:r>
    </w:p>
    <w:p>
      <w:r>
        <w:t>IT: VD_GERICHTE PM22.002079 del 12 aprile 2022</w:t>
      </w:r>
    </w:p>
    <w:p>
      <w:pPr>
        <w:pStyle w:val="Heading2"/>
      </w:pPr>
      <w:r>
        <w:t>Erwägungen</w:t>
      </w:r>
    </w:p>
    <w:p>
      <w:r>
        <w:rPr>
          <w:b/>
        </w:rPr>
        <w:t>E. 1.1.1</w:t>
      </w:r>
    </w:p>
    <w:p>
      <w:r>
        <w:t>La Loi fédérale sur la procédure pénale applicable aux mineurs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Code de procédure pénale suisse du 5 octobre 2007 (CPP ; RS 312.0) est applicable (art. 3 al. 1 et 2 PPMin). Selon l’art. 30 PPMin, l’autorité d’instruction – qui, dans le canton de Vaud, est le juge des mineurs (art. 3 al. 1 let. b et 8 LVPPMin</w:t>
      </w:r>
    </w:p>
    <w:p>
      <w:r>
        <w:t>- 3 - [Loi vaudoise du 2 février 2010 d'introduction de la loi fédérale sur la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(Hebeisen, in : Niggli/Heer/Wiprächtiger, [éd.], Basler Kommentar, Schweizerische Strafprozessordnung, Jugendstrafprozess-ordnung, 2e éd., Bâle 2014, n. 1 et 4 ad art. 30 JStPO ; Geiger, in : Queloz, [éd.], Commentaire, Droit pénal et justice des mineurs en Suisse, Genève/Zurich/Bâle, 2018, n. 441 ad Instruction art. 30 PPMin et n. 448 ad art. 30 PPMin ; CREP 7 mars 2022/4 consid. 1.1).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w:t>
      </w:r>
    </w:p>
    <w:p>
      <w:r>
        <w:rPr>
          <w:b/>
        </w:rPr>
        <w:t>E. 1.1.2</w:t>
      </w:r>
    </w:p>
    <w:p>
      <w:r>
        <w:t>En vertu de l'art. 382 al. 1 CPP, applicable par renvoi de l’art. 38 al. 3 PPMin, toute partie – à savoir le prévenu mineur, ses représentants légaux, la partie plaignante et le ministère public des mineurs (art. 18 PPMin) – qui a un intérêt juridiquement protégé à l'annulation ou à la modification d'une décision a qualité pour recourir contre celle-ci.</w:t>
      </w:r>
    </w:p>
    <w:p>
      <w:r>
        <w:t>- 4 -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n. 4 ad art. 382 CPP ; Lieber, in : Donatsch/Lieber/Summers/Wohlers [éd.],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op. cit., n. 4 ad art. 382 CPP ; Lieber, op. cit., n. 9 ad art. 382 StPO). Elle n'est donc pas susceptible d'être entreprise par un recours (TF 1B_188/2018 du 3 septembre 2018 consid. 1.3 et réf. cit. ; TF 4C.98/2007 du 29 avril 2008 consid. 3.1.1 ; TF 6P.42/2006 et 6S.82/2006 du 15 mai 2006 consid. 3.1 ; CREP 22 mai 2018/384). L'intérêt au recours relève de la recevabilité et non du bien- fondé du recours (CREP 22 mai 2018/384 consid. 1.2 et réf. cit. ; Calame, in : Jeanneret/Kuhn/Perrier Depeursinge [éd.], op. cit., n. 3 ad art. 382 CPP). Il résulte de ce qui précède que le recourant n'est pas légitimé à contester par la voie du recours une décision de classement prononcée en sa faveur dans le seul but d'obtenir une motivation juridique différente, sauf à se plaindre d'une motivation violant le principe de la présomption d'innocence (TF 6B_207/2014 du 2 février 2015 consid. 3 ; TF 1B_3/2011 du 20 avril 2011).</w:t>
      </w:r>
    </w:p>
    <w:p>
      <w:r>
        <w:rPr>
          <w:b/>
        </w:rPr>
        <w:t>E. 1.2</w:t>
      </w:r>
    </w:p>
    <w:p>
      <w:r>
        <w:t>- 5 -</w:t>
      </w:r>
    </w:p>
    <w:p>
      <w:r>
        <w:rPr>
          <w:b/>
        </w:rPr>
        <w:t>E. 1.2.1</w:t>
      </w:r>
    </w:p>
    <w:p>
      <w:r>
        <w:t>En l’espèce, la recourante, en qualité de représentante légale du mineur prévenu, conteste l’ordonnance de non-entrée en matière rendue en faveur de son fils. Elle allègue que la fille du plaignant aurait provoqué celui-ci, l’aurait « embêté » et aurait répandu des rumeurs à son sujet. La recourante ne conteste pas la non-entrée en matière dont a bénéficié son fils, mais aimerait que la fille victime des agissements de son fils soit également avertie au motif qu’elle aurait aussi importuné ce dernier. Il s’agit donc bien d’un recours sur les motifs, partant irrecevable pour les raisons évoquées au consid. 1.1.2 ci-dessus. Au demeurant, une plainte de la recourante contre la victime conduirait également à un refus d’entrer en matière, puisqu’B.R.________ était également âgée de moins de 10 ans au moment des faits (art. 3 al. 1 DPMin), ce qui rend impossible les poursuites pénales.</w:t>
      </w:r>
    </w:p>
    <w:p>
      <w:r>
        <w:rPr>
          <w:b/>
        </w:rPr>
        <w:t>E. 2</w:t>
      </w:r>
    </w:p>
    <w:p>
      <w:r>
        <w:t>TFIP [Tarif des frais de procédure et indemnités en matière pénale du 28 septembre 2010 ; BLV 312.03.1]), seront mis à la charge de J.________, qui succombe (art. 428 al. 1 CPP par renvoi de l’art. 44 al. 2 PPMin). Par ces motifs, la Chambre des recours pénale prononce : I. Le recours est irrecevable. II. Les frais d’arrêt, par 225 fr. (deux cent vingt-cinq francs), sont mis à la charge de J.________. III. L’arrêt est exécutoire.</w:t>
      </w:r>
    </w:p>
    <w:p>
      <w:r>
        <w:t>- 6 - La présidente : Le greffier : Du Le présent arrêt, dont la rédaction a été approuvée à huis clos, est notifié, par l'envoi d'une copie complète, à : - Mme J.________, - Ministère public central, et communiqué à : - M. le Président du Tribunal des mineurs, - M. Q.________ légalement chez sa mère J.________, - A.R.________,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