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PM21.020155 vom 20. April 2022</w:t>
      </w:r>
    </w:p>
    <w:p>
      <w:r>
        <w:t>VD Tribunal cantonal, 2022-04-20, FR</w:t>
      </w:r>
    </w:p>
    <w:p>
      <w:r>
        <w:rPr>
          <w:b/>
        </w:rPr>
        <w:t xml:space="preserve">Quelle: </w:t>
      </w:r>
      <w:r>
        <w:t>https://mcp.opencaselaw.ch/entscheid/vd_gerichte_PM21.020155</w:t>
      </w:r>
    </w:p>
    <w:p>
      <w:r>
        <w:t>FR: VD_GERICHTE PM21.020155 du 20 avril 2022</w:t>
      </w:r>
    </w:p>
    <w:p>
      <w:r>
        <w:t>IT: VD_GERICHTE PM21.020155 del 20 aprile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ce qui précède, le recours doit être admis et l’ordonnance entreprise annulée. Les frais de la procédure, constitués en l’espèce de l’émolument d'arrêt, par 495 fr. (art. 20 al. 1 et 2 TFIP [Tarif des frais judiciaires et indemnités en matière pénale du 28 septembre 2010 ; BLV 312.03.1]), et des frais imputables à la défense d’office de K.________ (art. 422 al. 1 et 2 let. A CPP applicable par renvoi de l’art. 44 al. 2 PPMin), fixés à 540 fr. sur la base d’une durée d’activité nécessaire d’avocat estimée à trois heures au tarif horaire de 180 fr., auxquels il convient d’ajouter des débours forfaitaires à concurrence de 2 % des honoraires admis (art. 3bis al. 1 RAJ [Règlement du 7 décembre 2010 sur l'assistance judiciaire en matière civile ; BLV 211.02.3], applicable par renvoi de l’art. 26b TFIP), par 10 fr. 80, ainsi que la TVA au taux de 7,7 %, par 42 fr. 40, soit à 594 fr. au total en chiffres arrondis, seront laissé à la charge de l’Etat (art. 428 al. 4. CPP). Par ces motifs, la Chambre des recours pénale prononce : I. Le recours est admis. II. L’ordonnance du 3 décembre 2021 est annulée. III. Il est ordonné la destruction du prélèvement d’ADN n° [...]. IV. L’indemnité allouée au défenseur d’office de K.________ est fixée à 594 fr. (cinq cent nonante-quatre francs).</w:t>
      </w:r>
    </w:p>
    <w:p>
      <w:r>
        <w:t>- 10 - V. Les frais d’arrêt, par 495 fr. (quatre cent nonante-cinq francs), ainsi que l’indemnité due au défenseur d’office de K.________, par 594 fr. (cinq cent nonante-quatre francs), sont laissés à la charge de l’Etat. VI. L’arrêt est exécutoire. Le président : La greffière ad hoc : Du Le présent arrêt, dont la rédaction a été approuvée à huis clos, est notifié, par l'envoi d'une copie complète, à : - Me Arnaud Thiery, avocat (pour K.________), - Ministère public central, et communiqué à : - M. le Président du Tribunal des mineurs, par l’envoi de photocopies.</w:t>
      </w:r>
    </w:p>
    <w:p>
      <w:r>
        <w:t>- 11 -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En vertu de l’art. 135 al. 3 let. b CPP, le présent arrêt peut, en tant qu'il concerne l’indemnité d’office, faire l’objet d’un recours au sens des art. 393 ss CPP devant le Tribunal pénal fédéral (art. 37 al. 1 et 39 al. 1 LOAP [loi fédérale du 19 mars 2010 sur l’organisation des autorités pénales ; RS 173.71]). Ce recours doit être déposé devant le Tribunal pénal fédéral dans un délai de dix jours dès la notification de l’arrêt attaqué (art. 396 al. 1 CPP). La greffière ad hoc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