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PM21.011345 vom 8. November 2021</w:t>
      </w:r>
    </w:p>
    <w:p>
      <w:r>
        <w:t>VD Tribunal cantonal, 2021-11-08, FR</w:t>
      </w:r>
    </w:p>
    <w:p>
      <w:r>
        <w:rPr>
          <w:b/>
        </w:rPr>
        <w:t xml:space="preserve">Quelle: </w:t>
      </w:r>
      <w:r>
        <w:t>https://mcp.opencaselaw.ch/entscheid/vd_gerichte_PM21.011345</w:t>
      </w:r>
    </w:p>
    <w:p>
      <w:r>
        <w:t>FR: VD_GERICHTE PM21.011345 du 8 novembre 2021</w:t>
      </w:r>
    </w:p>
    <w:p>
      <w:r>
        <w:t>IT: VD_GERICHTE PM21.011345 del 8 novembre 2021</w:t>
      </w:r>
    </w:p>
    <w:p>
      <w:pPr>
        <w:pStyle w:val="Heading2"/>
      </w:pPr>
      <w:r>
        <w:t>Erwägungen</w:t>
      </w:r>
    </w:p>
    <w:p>
      <w:r>
        <w:rPr>
          <w:b/>
        </w:rPr>
        <w:t>E. 1</w:t>
      </w:r>
    </w:p>
    <w:p>
      <w:r>
        <w:t>- 4 -</w:t>
      </w:r>
    </w:p>
    <w:p>
      <w:r>
        <w:rPr>
          <w:b/>
        </w:rPr>
        <w:t>E. 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 entrée en matière aux conditions prévues à l’art. 310 CPP ou pour ordonner le classement de la procédure aux conditions prévues à l’art. 319 CPP (Hug/Schläfli, in : Niggli/Heer/ Wiprächtiger [éd.], Basler Kommentar, Schweizerische Strafprozessordnung, Jugendstrafprozessordnung, Art. 196-457 StPO – Art. 1-54 JStPO, 2e éd., Bâle 2014, n. 1 ad art. 30 PPMin; CREP du 21 avril 2021/358).</w:t>
      </w:r>
    </w:p>
    <w:p>
      <w:r>
        <w:rPr>
          <w:b/>
        </w:rPr>
        <w:t>E. 1.2</w:t>
      </w:r>
    </w:p>
    <w:p>
      <w:r>
        <w:t>En l’espèce, le recours a été interjeté devant l’autorité compétente, par la partie plaignante, qui a qualité pour recourir (art. 382 al. 1 CPP), et il satisfait aux conditions de forme prescrites (art. 385 al. 1 CPP). Il reste à déterminer s’il est effectivement dirigé contre une décision implicite qui serait sujette à recours.</w:t>
      </w:r>
    </w:p>
    <w:p>
      <w:r>
        <w:rPr>
          <w:b/>
        </w:rPr>
        <w:t>E. 2</w:t>
      </w:r>
    </w:p>
    <w:p>
      <w:r>
        <w:t>Les recourantes soutiennent en substance que, lors de l’audience du 12 octobre 2021, le juge des mineurs aurait d’emblée écarté</w:t>
      </w:r>
    </w:p>
    <w:p>
      <w:r>
        <w:t>- 5 - l’infraction de contrainte invoquée dans leur plainte. Il aurait considéré que les faits antérieurs à mars 2021 étaient prescrits et ainsi refusé de traiter l’infraction litigieuse comme un délit continu dans un contexte de harcèlement durant depuis trois ans. Ce serait ainsi à tort qu’il aurait refusé d’instruire ces faits.</w:t>
      </w:r>
    </w:p>
    <w:p>
      <w:r>
        <w:rPr>
          <w:b/>
        </w:rPr>
        <w:t>E. 2.1</w:t>
      </w:r>
    </w:p>
    <w:p>
      <w:r>
        <w:t>Si le ministère public – respectivement le juge des mineurs – décide de ne pas poursuivre certains faits, il doit prononcer un classement (art. 319 CPP).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 TF 6B_1157/2019 du 12 novembre 2019 consid. 2.2). Un classement partiel n'entre en ligne de compte que si plusieurs faits ou comportements doivent être jugés et qu'ils peuvent faire l'objet de décisions séparées. Tel n'est pas le cas en présence de plusieurs qualifications juridiques d'un seul et même état de faits (ATF 144 IV 362 consid. 1.3.1 ; TF 6B_1157/2019 précité consid. 2.2).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ne bis in idem (ATF 144 IV 362 consid. 1.4 ; TF 6B_1157/2019 précité consid. 2.2).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w:t>
      </w:r>
    </w:p>
    <w:p>
      <w:r>
        <w:t>- 6 - respectivement le juge des mineurs – renonce à poursuivre, de manière à en définir clairement et formellement les limites (ATF 138 IV 241 consid.</w:t>
      </w:r>
    </w:p>
    <w:p>
      <w:r>
        <w:rPr>
          <w:b/>
        </w:rPr>
        <w:t>E. 2.2</w:t>
      </w:r>
    </w:p>
    <w:p>
      <w:r>
        <w:t>En l’espèce, on se trouve au tout début de l’instruction, dans le cadre de la procédure préliminaire, au cours de laquelle seule une audience en présence des parties a pour l’instant été tenue. Aucune décision ou ordonnance n’a été formellement rendue à ce stade, hormis l’ordonnance d’ouverture d’instruction, antérieure à la prise de position des plaignantes s’agissant de l’existence d’un éventuel délit continu de contrainte. Cela étant, contrairement à ce que soutiennent les recourantes, il ne résulte pas du procès-verbal de l’audience du 12 octobre 2021 que le Président du Tribunal des mineurs aurait d’emblée écarté l’infraction de contrainte. Au contraire, il a entendu les parties sur de nombreux faits faisant l’objet de la plainte, a fait protocoler au procès- verbal que l’avocate des plaignantes considère que les faits tombant à première vue sous le coup de la prescription constituent, de son avis, un délit continu de contrainte (PV aud. 3, l. 231 s.) et a fixé aux parties un délai pour qu’elles fournissent une liste de témoins et d’éventuels éléments de preuve (PV aud. 3, l. 293 s.). Le seul fait que le magistrat instructeur n’ait pas entendu les parties sur l’ensemble des faits faisant l’objet de la plainte est insuffisant pour considérer qu’il n’entend pas instruire l’infraction de contrainte. D’ailleurs, comme il l’a lui-même exposé dans son courrier du 26 octobre 2021, la question du harcèlement scolaire a été abordée et les qualifications juridiques mentionnées par la direction de la procédure au début de l’instruction ne lient pas l’autorité de jugement. On ne saurait dès lors considérer, à ce stade précoce de la procédure, qu’une ordonnance de classement implicite écartant</w:t>
      </w:r>
    </w:p>
    <w:p>
      <w:r>
        <w:t>- 7 - l’infraction de contrainte aurait été rendue et le recours n’est dès lors dirigé contre aucune décision, de sorte qu’il est irrecevable.</w:t>
      </w:r>
    </w:p>
    <w:p>
      <w:r>
        <w:rPr>
          <w:b/>
        </w:rPr>
        <w:t>E. 2.3</w:t>
      </w:r>
    </w:p>
    <w:p>
      <w:r>
        <w:t>Au demeurant, conformément à l'art. 311 al. 2 CPP, le ministère public – respectivement le juge des mineurs –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(TF 6B_1276/2019 du 27 février 2020 consid. 3.1 et les références citées). S'il rejette la requête d'extension, sa décision s'apparente à une non-entrée en matière au sens de l'art. 310 CPP (ibidem). En l’espèce, à supposer que l’infraction de contrainte n’aurait pas été envisagée – ce qui n’est pas le cas, pour les motifs précités – rien n’aurait empêché les plaignantes de solliciter formellement l’extension de l’instruction et la reddition d’une décision formelle, ce qui leur aurait ouvert une voie de recours.</w:t>
      </w:r>
    </w:p>
    <w:p>
      <w:r>
        <w:rPr>
          <w:b/>
        </w:rPr>
        <w:t>E. 2.5</w:t>
      </w:r>
    </w:p>
    <w:p>
      <w:r>
        <w:t>; TF 6B_690/2014 et 6B_714/2014 du 12 juin 2015 consid. 4.2). A défaut, on se trouve en présence d’un classement implicite, qui doit être annulé (CREP 19 mai 2020/383 consid. 4.2.1 ; CREP 12 juin 2017/383 ; CREP 1er décembre 2015/780 ; CREP 11 décembre 2014/883 ; CREP 15 juillet 2013/446). Il doit en aller de même d’une non-entrée en matière, à laquelle les dispositions sur le classement de la procédure sont applicables (art. 310 al. 2 CPP).</w:t>
      </w:r>
    </w:p>
    <w:p>
      <w:r>
        <w:rPr>
          <w:b/>
        </w:rPr>
        <w:t>E. 3</w:t>
      </w:r>
    </w:p>
    <w:p>
      <w:r>
        <w:t>Au vu de ce qui précède, le recours doit être déclaré irrecevable, sans échange d’écritures (art. 390 al. 2 CPP). Les frais de la procédure de recours sont fixés à 385 fr. (art. 20 al. 1 et 2 TFIP [tarif des frais de procédure et indemnités en matière pénale du 28 septembre 2010; BLV 312.03.1]), et sont mis à la charge des recourantes, solidairement entre elles, qui succombent (art. 418 al. 2 et 428 al. 1 CPP ; 44 al. 2 PPmin).</w:t>
      </w:r>
    </w:p>
    <w:p>
      <w:r>
        <w:t>- 8 - Par ces motifs, la Chambre des recours pénale prononce : I. Le recours est irrecevable. II. Les frais d'arrêt, par 385 fr. (trois cent huitante-cinq francs), sont mis à la charge d’H.________ et de T.________, solidairement entre elles. III. L’arrêt est exécutoire. Le président : Le greffier : Du Le présent arrêt, dont la rédaction a été approuvée à huis clos, est notifié, par l'envoi d'une copie complète, à : - Me Malory Fagone, avocate (pour H.________ et T.________), - Me Paul-Arthur Treyvaud, avocat (pour V.________ et [...]), - Ministère public central, et communiqué à : - M. le Président du Tribunal des mineurs,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