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PM21.008138 vom 24. August 2022</w:t>
      </w:r>
    </w:p>
    <w:p>
      <w:r>
        <w:t>VD Tribunal cantonal, 2022-08-24, FR</w:t>
      </w:r>
    </w:p>
    <w:p>
      <w:r>
        <w:rPr>
          <w:b/>
        </w:rPr>
        <w:t xml:space="preserve">Quelle: </w:t>
      </w:r>
      <w:r>
        <w:t>https://mcp.opencaselaw.ch/entscheid/vd_gerichte_PM21.008138</w:t>
      </w:r>
    </w:p>
    <w:p>
      <w:r>
        <w:t>FR: VD_GERICHTE PM21.008138 du 24 août 2022</w:t>
      </w:r>
    </w:p>
    <w:p>
      <w:r>
        <w:t>IT: VD_GERICHTE PM21.008138 del 24 agosto 2022</w:t>
      </w:r>
    </w:p>
    <w:p>
      <w:pPr>
        <w:pStyle w:val="Heading2"/>
      </w:pPr>
      <w:r>
        <w:t>Erwägungen</w:t>
      </w:r>
    </w:p>
    <w:p>
      <w:r>
        <w:rPr>
          <w:b/>
        </w:rPr>
        <w:t>E. 1</w:t>
      </w:r>
    </w:p>
    <w:p>
      <w:r>
        <w:t>- 3 -</w:t>
      </w:r>
    </w:p>
    <w:p>
      <w:r>
        <w:rPr>
          <w:b/>
        </w:rPr>
        <w:t>E. 1.1</w:t>
      </w:r>
    </w:p>
    <w:p>
      <w:r>
        <w:t>La loi fédérale sur la procédure pénale applicable aux mineurs (PPMin ; RS 312.1) régit la poursuite et le jugement des infractions prévues par le droit fédéral commises par des mineurs au sens de l’art. 3 al. 1 DPMin (loi fédérale régissant la condition pénale des mineurs du 20 juin 2003 ; RS 311.1). Sauf dispositions particulières de la PPMin, le CPP est applicable (art. 3 al. 1 et 2 PPMin). Selon l’art. 30 PPMin, l’autorité d’instruction – qui est, dans le canton de Vaud, le juge des mineurs (art. 3 al. 1 let. b et 8 LVPPMin [loi vaudoise du 2 février 2010 d’introduction de la loi fédérale sur la procédure pénale applicable aux mineurs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w:t>
      </w:r>
    </w:p>
    <w:p>
      <w:r>
        <w:rPr>
          <w:b/>
        </w:rPr>
        <w:t>E. 1.2</w:t>
      </w:r>
    </w:p>
    <w:p>
      <w:r>
        <w:t>La recevabilité et les motifs du recours sont régis par l’art. 393 CPP (art. 39 al. 1 PPMin). La compétence pour statuer sur les recours appartient à l'autorité de recours des mineurs (art. 39 al. 3 PPMin ; cf. art. 7 al. 1 let. c PPMin) qui est, dans le canton de Vaud, la Chambre des recours pénale du Tribunal cantonal (art. 18 LVPPMin ; CREP 9 mai 2022/332 consid. 1.1 et les références citées). Une ordonnance de refus ou de refus partiel de l’assistance judiciaire requise peut faire l’objet d’un recours aux conditions des art. 393 ss CPP (CREP 11 juin 2015/393 consid.</w:t>
      </w:r>
    </w:p>
    <w:p>
      <w:r>
        <w:rPr>
          <w:b/>
        </w:rPr>
        <w:t>E. 1.3</w:t>
      </w:r>
    </w:p>
    <w:p>
      <w:r>
        <w:t>En l’espèce, interjeté en temps utile devant l’autorité compétente par la partie plaignante qui a qualité pour recourir (art. 38 al.</w:t>
      </w:r>
    </w:p>
    <w:p>
      <w:r>
        <w:rPr>
          <w:b/>
        </w:rPr>
        <w:t>E. 3</w:t>
      </w:r>
    </w:p>
    <w:p>
      <w:r>
        <w:t>En définitive, le recours doit être admis et l’ordonnance entreprise annulée, la cause étant renvoyée à la Présidente du Tribunal des mineurs pour qu’elle accorde l’assistance judiciaire à W.________ et procède à la désignation d’un conseil juridique gratuit. Vu l’admission du recours, les frais de la procédure de recours, constitués en l’espèce de l’émolument d'arrêt, par 330 fr. (art. 20 al. 1 et 2 TFIP [Tarif des frais de procédure et indemnités en matière pénale du 28 septembre 2010 ; BLV 312.03.1]), seront laissés à la charge de l'Etat (art. 428 al. 4 CPP). Par ces motifs, la Chambre des recours pénale prononce : I. Le recours est admis. II. L’ordonnance du 23 juin 2022 est annulée. III. Le dossier de la cause est renvoyé à la Présidente du Tribunal des mineurs pour qu’elle procède dans le sens des considérants. IV. Les frais d’arrêt, par 330 fr. (trois cent trente francs), sont laissés à la charge de l’Etat.</w:t>
      </w:r>
    </w:p>
    <w:p>
      <w:r>
        <w:t>- 7 - V. L’arrêt est exécutoire. La présidente : Le greffier : Du Le présent arrêt, dont la rédaction a été approuvée à huis clos, est notifié, par l'envoi d'une copie complète, à : - M. W.________, - Me Christine Savioz Nicole, avocate (pour N.________),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