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PM21.007344 vom 15. August 2022</w:t>
      </w:r>
    </w:p>
    <w:p>
      <w:r>
        <w:t>VD Tribunal cantonal, 2022-08-15, FR</w:t>
      </w:r>
    </w:p>
    <w:p>
      <w:r>
        <w:rPr>
          <w:b/>
        </w:rPr>
        <w:t xml:space="preserve">Quelle: </w:t>
      </w:r>
      <w:r>
        <w:t>https://mcp.opencaselaw.ch/entscheid/vd_gerichte_PM21.007344</w:t>
      </w:r>
    </w:p>
    <w:p>
      <w:r>
        <w:t>FR: VD_GERICHTE PM21.007344 du 15 août 2022</w:t>
      </w:r>
    </w:p>
    <w:p>
      <w:r>
        <w:t>IT: VD_GERICHTE PM21.007344 del 15 agosto 2022</w:t>
      </w:r>
    </w:p>
    <w:p>
      <w:pPr>
        <w:pStyle w:val="Heading2"/>
      </w:pPr>
      <w:r>
        <w:t>Erwägungen</w:t>
      </w:r>
    </w:p>
    <w:p>
      <w:r>
        <w:rPr>
          <w:b/>
        </w:rPr>
        <w:t>E. 5</w:t>
      </w:r>
    </w:p>
    <w:p>
      <w:r>
        <w:t>L’appelante A.A.________ conclut au versement, par le défendeur B.________, d’une indemnité pour tort moral de 10'000 fr. en capital. Elle fait valoir qu’elle est suivie depuis plusieurs mois en lien avec les séquelles occasionnées par les faits de la cause et qu’elle a été hospitalisée par deux fois, à savoir ensuite d’un tentamen médicamenteux</w:t>
      </w:r>
    </w:p>
    <w:p>
      <w:r>
        <w:t>- 21 - en décembre 2021 et de comportements auto-agressifs en février 2022. A l’audience d’appel, B.A.________ a exposé plus avant le désarroi de sa fille. Cette conclusion doit également être rejetée, dès lors qu’elle présuppose que les faits incriminés tenus pour dommageables soient imputés au prévenu, ce qui n’est cependant pas le cas.</w:t>
      </w:r>
    </w:p>
    <w:p>
      <w:r>
        <w:rPr>
          <w:b/>
        </w:rPr>
        <w:t>E. 6</w:t>
      </w:r>
    </w:p>
    <w:p>
      <w:r>
        <w:t>Les frais d’appel seront laissés à la charge de l’Etat. Outre l’émolument (art. 21 al. 1 et 2 TFIP [tarif des frais de procédure et indemnités en matière pénale du 28 septembre 2010 ; RSV 312.03.1]), les frais d’appel comprennent les indemnités en faveur du conseil d’office des appelantes et du défenseur d'office de l’intimé (art. 422 al. 1 et al. 2 let. a CPP). L’indemnité en faveur du conseil d’office des appelantes doit être arrêtée sur la base des opérations figurant sur la liste produite, à cette réserve près que la durée indiquée au titre de la rédaction de la déclaration d’appel (8 h et 30 minutes) est excessive et doit être ramenée à 6 h et 30 minutes, s’agissant d’une cause d’une complexité limitée, de surcroît connue pour avoir été plaidée en première instance déjà. En revanche, la durée de l’audience d’appel doit être ajoutée, la liste ne mentionnant aucune durée hypothétique. La durée d’activité utile est donc de 17 heures. Au tarif de 180 fr. de l’heure, le total des opérations retenues correspond ainsi à des honoraires nets de 3'060 francs. A ces honoraires, il convient d’ajouter des débours forfaitaires à concurrence de 2 % (art. 3bis al. 1 RAJ [règlement du 7 décembre 2010 sur l'assistance judiciaire en matière civile ; BLV 211.02.3], applicable par renvoi de l’art. 26b TFIP). A ces honoraires bruts de 3'121 fr. 20 doivent être ajoutées une vacation forfaitaire de 120 fr., pour l’audience d’appel, plus la TVA sur le tout. L’indemnité s’élève donc à 3'490 fr. 75, débours et TVA compris.</w:t>
      </w:r>
    </w:p>
    <w:p>
      <w:r>
        <w:t>- 22 - L’indemnité en faveur du défenseur d'office de l’intimé doit être arrêtée sur la base des opérations figurant sur la liste produite. La durée de l’audience d’appel sera ajoutée, la liste ne mentionnant aucune durée hypothétique. La durée d’activité utile est donc de 6 heures. Au tarif de 180 fr. de l’heure, le total des opérations retenues correspond ainsi à des honoraires nets de 1'080 francs. Aux honoraires bruts de 1'101 fr. 60 doivent être ajoutées une vacation forfaitaire de 120 fr., pour l’audience d’appel, ainsi que la TVA sur le tout. L’indemnité s’élève donc à 1'315 fr. 65, débours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