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PM21.006316 vom 9. Mai 2022</w:t>
      </w:r>
    </w:p>
    <w:p>
      <w:r>
        <w:t>VD Tribunal cantonal, 2022-05-09, FR</w:t>
      </w:r>
    </w:p>
    <w:p>
      <w:r>
        <w:rPr>
          <w:b/>
        </w:rPr>
        <w:t xml:space="preserve">Quelle: </w:t>
      </w:r>
      <w:r>
        <w:t>https://mcp.opencaselaw.ch/entscheid/vd_gerichte_PM21.006316</w:t>
      </w:r>
    </w:p>
    <w:p>
      <w:r>
        <w:t>FR: VD_GERICHTE PM21.006316 du 9 mai 2022</w:t>
      </w:r>
    </w:p>
    <w:p>
      <w:r>
        <w:t>IT: VD_GERICHTE PM21.006316 del 9 maggio 2022</w:t>
      </w:r>
    </w:p>
    <w:p>
      <w:pPr>
        <w:pStyle w:val="Heading2"/>
      </w:pPr>
      <w:r>
        <w:t>Erwägungen</w:t>
      </w:r>
    </w:p>
    <w:p>
      <w:r>
        <w:rPr>
          <w:b/>
        </w:rPr>
        <w:t>E. 1.1</w:t>
      </w:r>
    </w:p>
    <w:p>
      <w:r>
        <w:t>La Loi fédérale sur la procédure pénale applicable aux mineurs (PPMin ; RS 312.1) régit la poursuite et le jugement des infractions prévues par le droit fédéral commises par des mineurs au sens de l’art. 3 al. 1 de la Loi fédérale régissant la condition pénale des mineurs du 20 juin 2003 (DPMin ; RS 311.1), ainsi que l’exécution des sanctions prononcées à l’encontre de ceux-ci (art. 1 PPMin). Sauf dispositions particulières de la PPMin, le Code de procédure pénale suisse du 5 octobre 2007 (CPP ; RS 312.0) est applicable (art. 3 al. 1 et 2 PPMin). Selon l’art. 30 PPMin, l’autorité d’instruction – qui, dans le canton de Vaud, est le juge des mineurs (art. 3 al. 1 let. b et 8 LVPPMin [Loi vaudoise d’introduction de la loi fédérale sur la procédure pénale applicable aux mineurs du 2 février 2010 ; BLV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Le juge des mineurs, en tant qu’autorité d’instruction, est ainsi compétent pour rendre une ordonnance d’établissement d’un profil ADN au sens de l’art. 255 CPP. La recevabilité et les motifs du recours sont régis par l’art. 393 CPP (art. 39 al. 1 PPMin). La décision ordonnant l’établissement d’un profil ADN est susceptible d’un recours au sens des art. 393 ss CPP (CREP 9 mars 2022/154 ; Moreillon/Parein-Reymond, Petit commentaire du Code de procédure pénale, 2e éd., Bâle 2016, n. 12 ad art. 393 CPP). Le recours doit être adressé par écrit dans un délai de dix jours dès la notification de la décision attaquée (art. 384 let. b et 396 al. 1 CPP). La compétence pour statuer sur les recours appartient à l'autorité de recours des mineurs (art.</w:t>
      </w:r>
    </w:p>
    <w:p>
      <w:r>
        <w:t>- 4 - 39 al. 3 PPMin ; art. 7 al. 1 let. c PPMin) qui est, dans le canton de Vaud, la Chambre des recours pénale du Tribunal cantonal (art. 18 LVPPMin).</w:t>
      </w:r>
    </w:p>
    <w:p>
      <w:r>
        <w:rPr>
          <w:b/>
        </w:rPr>
        <w:t>E. 1.2</w:t>
      </w:r>
    </w:p>
    <w:p>
      <w:r>
        <w:t>En l’espèce, interjeté en temps utile devant l’autorité compétente par le prévenu mineur qui a qualité pour recourir (art. 38 al. 1 let. a PPMin ; art. 382 al. 1 CPP) et satisfaisant aux conditions de forme prescrites (art. 385 al. 1 CPP), le recours est recevable.</w:t>
      </w:r>
    </w:p>
    <w:p>
      <w:r>
        <w:rPr>
          <w:b/>
        </w:rPr>
        <w:t>E. 2</w:t>
      </w:r>
    </w:p>
    <w:p>
      <w:r>
        <w:t>CPP ; TF 6B_854/2018 du 23 octobre 2018 consid. 3.3). La Chambre des recours pénale dispose d'un tel pouvoir d'examen, permettant de guérir le vice procédural invoqué (art. 398 al. 2 CPP).</w:t>
      </w:r>
    </w:p>
    <w:p>
      <w:r>
        <w:rPr>
          <w:b/>
        </w:rPr>
        <w:t>E. 2.1</w:t>
      </w:r>
    </w:p>
    <w:p>
      <w:r>
        <w:t>Dans un premier grief de nature formelle, le recourant invoque une violation de son droit d’être entendu, en ce sens que la motivation de l’ordonnance attaquée serait insuffisante. Il considère en outre qu’il n’y aurait pas de soupçons suffisants, ni d’indice sérieux et concret, laissant penser qu’il aurait commis les faits reprochés.</w:t>
      </w:r>
    </w:p>
    <w:p>
      <w:r>
        <w:rPr>
          <w:b/>
        </w:rPr>
        <w:t>E. 2.2.1</w:t>
      </w:r>
    </w:p>
    <w:p>
      <w:r>
        <w:t>Le droit d’être entendu garanti à l'art. 29 al. 2 Cst. et à l’art. 3 al. 2 let. c CPP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ATF 141 IV 249 consid. 1.3.1 ; ATF 139 IV 179 consid. 2.2 ; TF 6B_738/2021 du 18 mars 2022 consid. 2.1 et les réf. cit.). Il n'est pas tenu de discuter tous les arguments soulevés par les parties, mais peut se limiter à l'examen des questions décisives pour l'issue du litige (ATF 142 II 154 consid. 4.2 ; ATF 139 IV 179 précité ; TF 6B_738/2021 précité). Dès lors que l'on peut discerner les motifs qui ont guidé la décision de l'autorité, le droit à une décision motivée est respecté, même si la motivation présentée est erronée (ATF 141 IV 557 consid. 3.2.1 ; TF 6B_738/2021 précité).</w:t>
      </w:r>
    </w:p>
    <w:p>
      <w:r>
        <w:t>- 5 - Le droit d'être entendu est une garantie constitutionnelle de caractère formel, dont la violation entraîne en principe l'annulation de la décision, indépendamment des chances de succès du recours sur le fond (ATF 135 I 187 consid. 2.2 ; ATF 122 II 464 consid. 4a). Lorsqu'on ne voit pas quelle influence sa violation a pu avoir sur la procédure, il n'y a cependant pas lieu d'annuler la décision attaquée (ATF 143 IV 380 consid. 1.4.1 ; TF 6B_249/2021 du 3 septembre 2021 consid. 6.1). Une telle violation peut également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w:t>
      </w:r>
    </w:p>
    <w:p>
      <w:r>
        <w:rPr>
          <w:b/>
        </w:rPr>
        <w:t>E. 2.2.2</w:t>
      </w:r>
    </w:p>
    <w:p>
      <w:r>
        <w:t>Aux termes de l’art. 255 al. 1 CPP, pour élucider un crime ou un délit, le prélèvement d'un échantillon et l'établissement d'un profil d'ADN peuvent être ordonnés sur le prévenu (let. a), sur d'autres personnes, notamment les victimes et les personnes habilitées à se rendre sur les lieux de l'infraction si cela est nécessaire pour distinguer leur matériel biologique de celui du prévenu (let. b), sur des personnes décédées (let. c) ou sur le matériel biologique qui a un rapport avec l'infraction (let. d). Selon l’art. 7 al. 1 let. a de la loi fédérale sur les profils d’ADN (Loi fédérale sur l’utilisation de profils d’ADN dans les procédures pénales et sur l’identification de personnes inconnues ou disparues du 20 juin 2003 ; RS 363), applicable par renvoi de l’art. 259 CPP, la police, l’autorité d’instruction pénale ou le tribunal pénal peuvent ordonner le prélèvement non invasif d’échantillons sur des personnes et l’analyse de ces échantillons pour l’établissement d’un profil ADN. Les mesures de reconnaissance et la conservation des données peuvent porter atteinte au droit à la liberté personnelle (art. 10</w:t>
      </w:r>
    </w:p>
    <w:p>
      <w:r>
        <w:t>- 6 - Cst.) et à la libre détermination de la sphère privée, respectivement à la protection contre l'emploi abusif de données personnelles (art. 13 al. 2 Cst. et 8 CEDH ; ATF 147 I 372 consid. 2.2 ; ATF 145 IV 263 consid. 3.4, JdT 2019 IV 327). Elles doivent ainsi être fondées sur une base légale suffisamment claire et précise, être justifiées par un intérêt public et être proportionnées au but visé (art. 36 al. 1 à 3 Cst. ; ATF 147 I 372 consid.</w:t>
      </w:r>
    </w:p>
    <w:p>
      <w:r>
        <w:rPr>
          <w:b/>
        </w:rPr>
        <w:t>E. 2.3</w:t>
      </w:r>
    </w:p>
    <w:p>
      <w:r>
        <w:t>En l’espèce, la Présidente du Tribunal des mineurs s’est bornée à indiquer que l’établissement d’un profil ADN contribuerait à élucider un crime ou un délit et à identifier l’auteur de crimes ou délits encore inconnus des autorités et pourra donc jouer un rôle préventif. Elle a estimé qu’au vu de la gravité de l’infraction contre l’intégrité sexuelle cette mesure était adéquate, qu’il existait des indices sérieux et concrets que le prévenu risque de commettre des infractions à l’avenir compte tenu de ses antécédents et que l’intérêt public était important et l’atteinte aux droits du recourant légère. Cette motivation très générale est insuffisante. Il ne s’agit que d’affirmations non étayées, alors qu’il convenait de faire la démonstration de la réalisation des conditions légales permettant d’ordonner la mesure. En particulier, l’ordonnance attaquée ne permet pas de déterminer quels éléments figurant au dossier rendraient le prélèvement nécessaire pour élucider l’infraction de contrainte sexuelle reprochée au recourant et quels échantillons ont d’ores et déjà été prélevés dans cette affaire avec quelles perspectives de correspondances. En outre, la simple évocation des antécédents du prévenu, dont la nature et l’ampleur ne sont pas précisés, ne permet pas de déduire qu’il existerait des indices concrets et sérieux qu’il pourrait avoir commis ou pourrait commettre d’autres infractions dont la nature potentielle n’est pas non plus précisée. La motivation manque ainsi de précision et paraît lacunaire, même si le comblement de ces lacunes ne nécessiterait pas de longs développements. En définitive, force est de constater que l’ordonnance attaquée viole le droit d’être entendu du recourant, dès lors que la motivation ne lui permet pas de se rendre compte de la portée de la décision et d’exercer</w:t>
      </w:r>
    </w:p>
    <w:p>
      <w:r>
        <w:t>- 8 - son droit de recours à bon escient, respectivement à l’autorité de recours d’exercer son contrôle. Quand bien même la Chambre des recours pénale dispose d’un plein pouvoir d’examen, il n’appartient pas à cette dernière de réparer cette violation et le recourant doit pouvoir bénéficier de la garantie de la double instance (CREP 28 février 2022/144 consid. 2.4 ; CREP 30 septembre 2021/921 consid. 2.4 ; CREP 14 juillet 2021/643 consid. 3.4). Il appartiendra dès lors à la Présidente du Tribunal des mineurs de rendre une nouvelle décision dûment motivée conformément aux exigences déduites de l’art. 29 al. 2 Cst., afin d’expliquer la nécessité et l’utilité de la mesure compte tenu des soupçons qui pèsent sur le recourant et de détailler, cas échéant, quels indices sérieux et concrets permettraient de retenir qu’il existe un risque que le recourant commette des infractions à l’avenir. Il conviendrait également de préciser de quels crimes ou de quels délits potentiels, encore inconnus des autorités, le recourant pourrait être l’auteur.</w:t>
      </w:r>
    </w:p>
    <w:p>
      <w:r>
        <w:rPr>
          <w:b/>
        </w:rPr>
        <w:t>E. 3</w:t>
      </w:r>
    </w:p>
    <w:p>
      <w:r>
        <w:t>Au vu de ce qui précède, le recours doit être admis et l’ordonnance entreprise annulée. Le dossier de la cause sera renvoyé à la Présidente du Tribunal des mineurs pour qu’elle rende une ordonnance dûment motivée dans un délai de dix jours dès la notification du présent arrêt, à défaut de quoi le prélèvement ADN concerné, non exploitable, devra être détruit. Au vu du mémoire de recours produit par le défenseur d’office d’P.________, 3 heures d’activité nécessaire d’avocat seront indemnisées au tarif horaire de 180 fr, par 540 fr., auxquels il convient d’ajouter des débours forfaitaires à concurrence de 2%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7,7%, par 42 fr. 40, soit au total et en chiffres arrondis 594 francs. Vu le sort du recours, les frais de la procédure, constitués en l’espèce de l’émolument d'arrêt, par 440 fr. (art. 20 al. 1 et 2 TFIP), et des</w:t>
      </w:r>
    </w:p>
    <w:p>
      <w:r>
        <w:t>- 9 - frais imputables à la défense d’office du recourant, par 594 fr., seront laissés à la charge de l’Etat (art. 423 al. 1 CPP applicable par renvoi de l’art. 44 al. 2 PPMin). Par ces motifs, la Chambre des recours pénale prononce : I. Le recours est admis. II. L’ordonnance du 29 mars 2022 est annulée. III. Le dossier de la cause est renvoyé à la Présidente du Tribunal des mineurs pour qu'elle procède dans le sens des considérants dans un délai de dix jours dès la notification du présent arrêt, à défaut de quoi le prélèvement ADN n° 3362078723 devra être détruit. IV. L’indemnité allouée au défenseur d’office d’P.________ est fixée à 594 fr. (cinq cent nonante quatre francs), à la charge de l’Etat. V. Les frais d’arrêt, par 440 fr. (quatre cent quarante francs), ainsi que l’indemnité allouée au défenseur d’office au chiffre IV ci-dessus, par 594 fr. (cinq cent nonante quatre francs), sont laissés à la charge de l’Etat. VI. L’arrêt est exécutoire. La présidente : Le greffier : Du Le présent arrêt, dont la rédaction a été approuvée à huis clos, est notifié, par l'envoi d'une copie complète, à : - Me Christine Savioz Nicole, avocate (pour P.________),</w:t>
      </w:r>
    </w:p>
    <w:p>
      <w:r>
        <w:t>- 10 -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