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PM20.016907 vom 9. Februar 2021</w:t>
      </w:r>
    </w:p>
    <w:p>
      <w:r>
        <w:t>VD Tribunal cantonal, 2021-02-09, FR</w:t>
      </w:r>
    </w:p>
    <w:p>
      <w:r>
        <w:rPr>
          <w:b/>
        </w:rPr>
        <w:t xml:space="preserve">Quelle: </w:t>
      </w:r>
      <w:r>
        <w:t>https://mcp.opencaselaw.ch/entscheid/vd_gerichte_PM20.016907</w:t>
      </w:r>
    </w:p>
    <w:p>
      <w:r>
        <w:t>FR: VD_GERICHTE PM20.016907 du 9 février 2021</w:t>
      </w:r>
    </w:p>
    <w:p>
      <w:r>
        <w:t>IT: VD_GERICHTE PM20.016907 del 9 febbraio 2021</w:t>
      </w:r>
    </w:p>
    <w:p>
      <w:pPr>
        <w:pStyle w:val="Heading2"/>
      </w:pPr>
      <w:r>
        <w:t>Erwägungen</w:t>
      </w:r>
    </w:p>
    <w:p>
      <w:r>
        <w:rPr>
          <w:b/>
        </w:rPr>
        <w:t>E. 1.1</w:t>
      </w:r>
    </w:p>
    <w:p>
      <w:r>
        <w:t>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(art. 1 PPMin). Sauf</w:t>
      </w:r>
    </w:p>
    <w:p>
      <w:r>
        <w:t>- 4 - dispositions particulières de la PPMin, le CPP (Code de procédure pénale suisse du 5 octobre 2007;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Niggli/Heer/Wiprächtiger [éd.], Basler Kommentar, Schweizerische Strafprozess-ordnung, Jugendstrafprozessordnung, Art. 196-457 StPO – Art. 1-54 JStPO, 2e éd., Bâle 2014, n. 1 ad art. 30 PPMin).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LVPPMin).</w:t>
      </w:r>
    </w:p>
    <w:p>
      <w:r>
        <w:rPr>
          <w:b/>
        </w:rPr>
        <w:t>E. 1.2</w:t>
      </w:r>
    </w:p>
    <w:p>
      <w:r>
        <w:t>Déposé dans le délai légal de dix jours (art. 322 al. 2 CPP, applicable par le renvoi de l’art. 310 al. 2 CPP; art. 396 al. 2 CPP) par le prévenu, qui a qualité pour recourir (art. 382 CPP) dans la mesure où il conteste le refus de lui allouer une indemnité au sens de l’art. 429 CPP, le recours est recevable.</w:t>
      </w:r>
    </w:p>
    <w:p>
      <w:r>
        <w:rPr>
          <w:b/>
        </w:rPr>
        <w:t>E. 1.3</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BLV</w:t>
      </w:r>
    </w:p>
    <w:p>
      <w:r>
        <w:t>- 5 - 173.31.1])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Tel est le cas en l'espèce, dès lors que le recours porte exclusivement sur les effets accessoires de l'ordonnance de non-entrée en matière du 19 octobre 2020, à savoir le non-versement d’une indemnité au sens de l’art. 429 CPP, dont le montant réclamé est par ailleurs inférieur à 5'000 francs. Le recours relève donc de la compétence d'un juge unique de la Chambre des recours pénale.</w:t>
      </w:r>
    </w:p>
    <w:p>
      <w:r>
        <w:rPr>
          <w:b/>
        </w:rPr>
        <w:t>E. 2</w:t>
      </w:r>
    </w:p>
    <w:p>
      <w:r>
        <w:t>CPP, qui régit les conditions dans lesquelles les frais de procédure peuvent être mis à la charge de la partie plaignante ou du plaignant (ATF 138 IV 248 consid. 5.3; JdT 2013 IV 191). La jurisprudence concernant</w:t>
      </w:r>
    </w:p>
    <w:p>
      <w:r>
        <w:t>- 9 - cette disposition est donc applicable par analogie à l’art. 432 al. 2 CPP (TF 6B_438/2013 du 18 juillet 2013 consid. 3.1; ATF 138 IV 248 consid. 5.3; CREP 8 juin 2020/128 consid. 2.2.2). Le dommage dont il est question à l'art. 432 al. 2 CPP est le même que celui de l'art. 429 al. 1 let. a CPP (Moreillon/Parein-Reymond, Petit commentaire, Code de procédure pénale, Bâle 2016, n. 11 ad art. 432 CPP), aux termes duquel le prévenu acquitté totalement ou en partie ou qui bénéficie d'une ordonnance de classement – respectivement d’une non-entrée en matière – a droit à une indemnité pour les dépenses occasionnées par l'exercice raisonnable de ses droits de procédure.</w:t>
      </w:r>
    </w:p>
    <w:p>
      <w:r>
        <w:rPr>
          <w:b/>
        </w:rPr>
        <w:t>E. 2.1.1</w:t>
      </w:r>
    </w:p>
    <w:p>
      <w:r>
        <w:t>L'art. 429 al. 1 let. a CPP prévoit que si le prévenu est acquitté totalement ou en partie ou s'il bénéficie d'une ordonnance de classement, il a droit à une indemnité pour les dépenses occasionnées par l'exercice raisonnable de ses droits de procédure. Bien que cette disposition ne mentionne pas expressément l'ordonnance de non-entrée en matière (art. 310 CPP), une indemnité selon l'art. 429 al. 1 CPP entre également en considération dans cette hypothèse (ATF 139 IV 241 consid. 1; TF 6B_478/2016 du 8 juin 2017). La non-entrée en matière constitue en effet une forme de « classement d’emblée » qui</w:t>
      </w:r>
    </w:p>
    <w:p>
      <w:r>
        <w:t>- 6 - doit être assimilée à un classement après instruction (cf. art. 310 al. 2 CPP, qui renvoie aux dispositions sur le classement; Mizel/Rétornaz, in : Jeanneret et al. [éd.], Commentaire romand, Code de procédure pénale suisse, Bâle 2019, n. 9 ad art. 429 CPP et la références citées). De même, la qualité de prévenu, et donc les droits qui en découlent, ne dépend pas de l'ouverture d'une instruction pénale, mais peut déjà résulter de l'existence d'une plainte ou d'une dénonciation (cf. art. 111 al. 1 CPP). 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6B_1172/2015 du 8 février 2016 consid. 2.2 et les références citées). Si cette disposition consacre à cet égard la maxime d’instruction (art. 6 CPP), l’indemnisation du prévenu ne peut cependant pas avoir lieu d’office; ce n’est qu’une fois saisie d’une demande du prévenu, après l’avoir le cas échéant interpellé, que l’autorité compétente peut se prononcer sur la question (TF 6B_118/2016 du 20 mars 2017 consid. 3; TF 1B_475/2011 du 11 janvier 2012 consid. 2.2 et 2.3). Une indemnisation ne saurait être refusée au motif que le prévenu n’a élevé aucune prétention alors même qu’il n’a pas été interpellé (CREP 6 juillet 2020/528 consid. 3.2.2; Parein, Le devoir d’interpellation en matière d’indemnisation des frais de défense du prévenu, in : Revue de l’avocat 2014, pp. 443 ss, spéc. p. 446). En revanche, si le prévenu ne réagit pas après avoir été interpellé conformément à l’art. 429 al. 2 CPP, on peut déduire qu’il entend renoncer à une indemnité (TF 6B_1172/2015 du 8 février 2016 consid. 2.2).</w:t>
      </w:r>
    </w:p>
    <w:p>
      <w:r>
        <w:rPr>
          <w:b/>
        </w:rPr>
        <w:t>E. 2.1.2</w:t>
      </w:r>
    </w:p>
    <w:p>
      <w:r>
        <w:t>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w:t>
      </w:r>
    </w:p>
    <w:p>
      <w:r>
        <w:t>- 7 -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ATF 138 IV 197 consid. 2.3.5, JdT 2013 IV 184; TF 6B_237/2016 du 18 juillet 2016 consid. 3.1). L'indemnité visée à l’art. 429 al. 1 let. a CPP doit correspondre au tarif usuel du barreau applicable dans le canton où la procédure se déroule (ATF 142 IV 163 consid. 3.1.2; TF 6B_331/2019 du 6 mai 2019 consid. 3.1). Ce barème sert de guide pour la détermination de ce qu'il faut entendre par « frais de défense usuels » (TF 6B_111/2017 du 17 octobre 2017 consid. 4.1; TF 6B_796/2016 du 15 mai 2017 consid. 2.2.2; TF 6B_392/2013 du 4 novembre 2013 consid. 2.3). Tel est le cas dans le canton de Vaud depuis le 1er avril 2014 par l'adoption de l'art. 26a TFIP (Tarif des frais de procédure et indemnités en matière pénale du 28 septembre 2010;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rPr>
          <w:b/>
        </w:rPr>
        <w:t>E. 2.1.3</w:t>
      </w:r>
    </w:p>
    <w:p>
      <w:r>
        <w:t>Selon l’art. 44 PPMin, les frais de procédure sont supportés en premier lieu par le canton dans lequel le jugement a été rendu (al. 1); au</w:t>
      </w:r>
    </w:p>
    <w:p>
      <w:r>
        <w:t>- 8 - surplus, les art. 422 à 428 CPP sont applicables par analogie (al. 2). Le principe est ainsi que les frais sont mis à la charge de l’Etat (art. 44 al. 1 PPMin et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applicable par analogie en vertu du renvoi de l’art. 44 al. 2 PPMin). De même,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Conformément à cette disposition, les frais de procédure ne peuvent être imputés à la partie plaignante lorsque les infractions dénoncées sont poursuivies d’office. La jurisprudence a encore précisé que les frais de procédure ne peuvent être mis à la charge de la partie plaignante qui, hormis le dépôt de la plainte, ne participe pas activement à la procédure, que dans des cas particuliers (ATF 138 IV 248 consid. 4.4.1, JdT 2013 IV 191; TF 6B_438/2013 du 18 juillet 2013 consid. 2.1).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w:t>
      </w:r>
    </w:p>
    <w:p>
      <w:r>
        <w:rPr>
          <w:b/>
        </w:rPr>
        <w:t>E. 2.2.1</w:t>
      </w:r>
    </w:p>
    <w:p>
      <w:r>
        <w:t>En l’espèce, s’il est vrai que la cause n’a rien de complexe et qu’une seule audition du prévenu a eu lieu, il n’en demeure pas moins que ce dernier est un mineur qui a été accusé sur son lieu de travail, respectivement de formation. Si celui-ci avait été reconnu coupable de vol – et considérant en outre que la valeur estimée d’une chevalière en or excédait vraisemblablement le cas d’importance mineure – il aurait été licencié (cf. PV aud. 1, p. 3 R. 3). Il y a donc lieu de considérer que le prévenu, de par son jeune âge, n’était pas apte à procéder seul, d’une part, et que l’impact sur sa vie personnelle et surtout professionnelle pouvait être conséquent, d’autre part. Il ne faut pas perdre de vue qu’un apprenti qui serait licencié pour un vol sur son lieu de travail perd sa formation et est susceptible d’avoir de la peine à en retrouver une. Le recours à l’assistance d’un avocat était donc raisonnable et justifié.</w:t>
      </w:r>
    </w:p>
    <w:p>
      <w:r>
        <w:rPr>
          <w:b/>
        </w:rPr>
        <w:t>E. 2.2.2</w:t>
      </w:r>
    </w:p>
    <w:p>
      <w:r>
        <w:t>Il convient par conséquent d’allouer une indemnité à D.________ pour l’exercice raisonnable de ses droits de procédure. La liste d’opérations produite le 27 octobre 2020 ne prête pas le flanc à la critique en ce qui concerne la durée d’activité de 2 heures et 22 minutes alléguée. Toutefois, la vacation de 20 minutes sera indemnisée par le montant forfaitaire usuel de 120 fr. et non en heures. Quant au tarif horaire de 350 fr. réclamé, celui-ci est excessif compte tenu du fait que la cause était très simple en fait et en droit. C’est donc un tarif horaire de 280 fr. qui doit être appliqué (art. 26a al. 3 TFIP). Les débours seront</w:t>
      </w:r>
    </w:p>
    <w:p>
      <w:r>
        <w:t>- 10 - comptabilisés à concurrence de 5% du défraiement du représentant professionnel (19 al. 2 TDC [Tarif des dépens en matière civile du 23 novembre 2010; BLV 270.11.6], applicable par envoi des art. 26a al. 6 et 26b TFIP), ce qui couvrira les débours allégués, par</w:t>
      </w:r>
    </w:p>
    <w:p>
      <w:r>
        <w:rPr>
          <w:b/>
        </w:rPr>
        <w:t>E. 2.2.3</w:t>
      </w:r>
    </w:p>
    <w:p>
      <w:r>
        <w:t>Cette indemnité sera laissée à la charge de l’Etat. En effet, d’une part, comme exposé ci-avant, compte tenu de la valeur estimable de la chevalière objet du vol, l'infraction se poursuivait d'office. Par ailleurs, il ressort du dossier que [...] a déposé plainte mais ne semble avoir, par la suite, procédé à aucune démarche de procédure. Dans ces circonstances, les conditions d'application de l'art. 432 al. 2 CPP ne sont pas réunies et il n'y a pas lieu de faire supporter à ce dernier les frais de la procédure. 3. Au vu de ce qui précède, le recours doit être admis et l’ordonnance attaquée réformée par l’ajout d’un chiffre III à son dispositif, en ce sens qu’une indemnité d’un montant de 774 fr. est allouée à D.________ pour ses frais de défense en première instance, à la charge de l’Etat. Le recourant, qui a procédé avec l’assistance d’un avocat de choix, a droit à une indemnité pour les dépenses occasionnées par la procédure de recours. Cette indemnité sera fixée à 420 fr., sur la base d’une activité estimée à 1,5 heure au tarif horaire de 280 fr., à laquelle s’ajoutent 2 % pour les débours (art. 19 al. 2 TDC), par 8 fr. 40, plus 7,7 %</w:t>
      </w:r>
    </w:p>
    <w:p>
      <w:r>
        <w:t>- 11 - de TVA, par 33 fr., soit 461 fr. 40 au total, montant arrondi à 462 francs. Elle sera laissée à la charge de l’Etat. Les frais de la procédure de recours, constitués en l’espèce du seul émolument d'arrêt, par 450 fr. (art. 20 al. 1 et 2 TFIP [Tarif des frais de procédure et indemnités en matière pénale du 28 septembre 2010; BLV 312.03.1]), sont laissés à la charge de l’Etat (art. 423 al. 1 CPP et 44 al. 1 PPMin). Par ces motifs, le juge unique prononce : I. Le recours est admis. II. L’ordonnance du 19 octobre 2020 est réformée comme il suit par l’ajout d’un chiffre III nouveau à son dispositif : « III. Alloue à D.________ une indemnité de 774 fr. (sept cent septante-quatre francs), TVA et débours compris, pour ses frais de défense pénale, à la charge de l’Etat. » L’ordonnance est confirmée pour le surplus. III. Une indemnité de 462 fr. (quatre cent soixante-deux francs) est allouée à D.________ pour la procédure de recours, à la charge de l’Etat. IV. Les frais d’arrêt, par 450 fr. (quatre cent cinquante francs), sont laissés à la charge de l’Etat. V. L’arrêt est exécutoire. Le juge unique : Le greffier :</w:t>
      </w:r>
    </w:p>
    <w:p>
      <w:r>
        <w:t>- 12 - Du Le présent arrêt, dont la rédaction a été approuvée à huis clos, est notifié, par l'envoi d'une copie complète, à : - Me Lionel Ducret, avocat (pour D.________ et ses parents, [...]), - Ministère public central, et communiqué à : - Mme la Présidente du Tribunal des mineurs, - Mme la Procureure du Ministère public central, division affaires spéciales, - M. [...],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fr., ainsi qu’une partie des 40 fr. de frais d’ouverture du dossier, qui constituent du travail de secrétariat qui n’a pas à être indemnisé. C’est ainsi une indemnité de 773 fr. 10, montant arrondi à 774 fr., qui doit être allouée à D.________, correspondant à 2,03 heures (2 heures et 2 minutes en centièmes) au tarif horaire de 280 fr., plus 5% de débours, par 28 fr. 45, plus 120 fr. de vacation, plus la TVA, par 55 fr.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