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PM20.012437 vom 27. Februar 2023</w:t>
      </w:r>
    </w:p>
    <w:p>
      <w:r>
        <w:t>VD Tribunal cantonal, 2023-02-27, FR</w:t>
      </w:r>
    </w:p>
    <w:p>
      <w:r>
        <w:rPr>
          <w:b/>
        </w:rPr>
        <w:t xml:space="preserve">Quelle: </w:t>
      </w:r>
      <w:r>
        <w:t>https://mcp.opencaselaw.ch/entscheid/vd_gerichte_PM20.012437</w:t>
      </w:r>
    </w:p>
    <w:p>
      <w:r>
        <w:t>FR: VD_GERICHTE PM20.012437 du 27 février 2023</w:t>
      </w:r>
    </w:p>
    <w:p>
      <w:r>
        <w:t>IT: VD_GERICHTE PM20.012437 del 27 febbraio 2023</w:t>
      </w:r>
    </w:p>
    <w:p>
      <w:pPr>
        <w:pStyle w:val="Heading2"/>
      </w:pPr>
      <w:r>
        <w:t>Erwägungen</w:t>
      </w:r>
    </w:p>
    <w:p>
      <w:r>
        <w:rPr>
          <w:b/>
        </w:rPr>
        <w:t>E. 1.1</w:t>
      </w:r>
    </w:p>
    <w:p>
      <w:r>
        <w:t>La Loi fédérale sur la procédure pénale applicable aux mineurs (PPMin ; RS 312.1) régit la poursuite et le jugement des infractions prévues par le droit fédéral commises par des mineurs au sens de l’art. 3 al. 1 DPMin,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du</w:t>
      </w:r>
    </w:p>
    <w:p>
      <w:r>
        <w:rPr>
          <w:b/>
        </w:rPr>
        <w:t>E. 1.2</w:t>
      </w:r>
    </w:p>
    <w:p>
      <w:r>
        <w:t>Interjeté en temps utile, par la partie plaignante qui, en tant que représentant légal, a qualité pour recourir (art. 382 al. 1 CPP), le recours est recevable dans cette mesure et sous réserve de ce qui suit.</w:t>
      </w:r>
    </w:p>
    <w:p>
      <w:r>
        <w:rPr>
          <w:b/>
        </w:rPr>
        <w:t>E. 2</w:t>
      </w:r>
    </w:p>
    <w:p>
      <w:r>
        <w:t>février 2010 d'introduction de la loi fédérale sur la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 entrée en matière aux conditions prévues à l’art. 310 CPP ou pour ordonner le classement de la procédure aux conditions prévues à l’art. 319 CPP (Hebeisen, in : Niggli/Heer/Wiprächtiger, [édit.], Basler Kommentar, Schweizerische Strafprozess-ordnung, Jugendstrafprozessordnung, 2e éd., Bâle 2014, n. 1 et 4 ad art. 30 JStPO ; Geiger, in : Queloz, [édit.], Commentaire, Droit pénal et justice des mineurs en Suisse, Genève/Zurich/Bâle, 2018, n. 441 ad Instruction art. 30 PPMin et n. 448 ad art. 30 PPMin ; CREP 7 mars 2022/4 consid. 1.1).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w:t>
      </w:r>
    </w:p>
    <w:p>
      <w:r>
        <w:t>- 5 -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Guidon, in : Niggli/Heer/ Wiprächtiger [éd.], Basler Kommentar, Schweizerische</w:t>
      </w:r>
    </w:p>
    <w:p>
      <w:r>
        <w:t>- 6 - Strafprozessordnung, 2e éd. 2014, n. 9c ad art. 396 StPO et les références citées ; Calame, in : Jeanneret/Kuhn/Perrier Depeursinge [éd.], Code de procédure pénale suisse, Commentaire romand, 2e éd. 2019, n. 21 ad art. 385 CPP ; CREP 7 octobre 2022/740 consid. 1.2.1 ; CREP 19 août 2022/640).</w:t>
      </w:r>
    </w:p>
    <w:p>
      <w:r>
        <w:rPr>
          <w:b/>
        </w:rPr>
        <w:t>E. 2.2</w:t>
      </w:r>
    </w:p>
    <w:p>
      <w:r>
        <w:t>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CREP 7 octobre 2022/740 consid. 1.2.2 ; CREP 17 août 2022/617).</w:t>
      </w:r>
    </w:p>
    <w:p>
      <w:r>
        <w:rPr>
          <w:b/>
        </w:rPr>
        <w:t>E. 2.3</w:t>
      </w:r>
    </w:p>
    <w:p>
      <w:r>
        <w:t>En l’espèce, dans l’acte de recours très succinct qu’il a adressé au premier juge, B.W.________ se dit choqué que Q.________ ne soit pas condamné. Il expose que sa fille est toujours suivie par un psychologue ensuite des attouchements sexuels, agressions et menaces de mort dont elle a été la victime. Il expose en outre avoir été condamné pour avoir injurié Q.________, qui était venu « le narguer » sur son lieu de travail, et que dans le jugement prononçant cette condamnation, le juge décrit Q.________ comme étant inadéquat et hautain à l’audience notamment, de sorte qu’il n’était pas douteux qu’il était agaçant. Cela étant, le recourant se limite à contester le classement de la procédure dirigée contre Q.________, et à faire état d’événements sans lien avec les faits de la présente cause, sans toutefois expliquer en quoi,</w:t>
      </w:r>
    </w:p>
    <w:p>
      <w:r>
        <w:t>- 7 - selon lui, les motifs sur lesquels le Tribunal des mineurs a fondé sa décision seraient erronés. Il ne conteste ainsi pas le raisonnement du premier juge ni n’explique en quoi il se justifierait de rendre une autre décision. En particulier, il n’expose pas, ni même ne prétend que les motifs retenus pour prononcer le classement (infractions prescrites, faits non établis par l’instruction, défaut de plainte et plainte tardive) seraient erronés. Au surplus, il ne prend pas de conclusions. Il s’ensuit que le recours ne satisfait pas aux exigences de motivation de l’art. 385 al. 1 CPP. Un tel vice ne saurait de plus justifier qu’un délai supplémentaire soit fixé au recourant pour compléter son acte en application de l’art. 385 al. 2 CPP.</w:t>
      </w:r>
    </w:p>
    <w:p>
      <w:r>
        <w:rPr>
          <w:b/>
        </w:rPr>
        <w:t>E. 3</w:t>
      </w:r>
    </w:p>
    <w:p>
      <w:r>
        <w:t>Au vu de ce qui précède, le recours doit être déclaré irrecevable sans échange d’écritures (art. 390 al. 2 CPP). Les frais de la procédure, constitués en l’espèce de l’émolument d'arrêt, par 385 fr. (art. 20 al. 1 et 2 TFIP [Tarif des frais judiciaires et indemnités en matière pénale du 28 septembre 2010 ; BLV 312.03.1]), seront exceptionnellement laissés à la charge de l’Etat (art. 423 al. 1 CPP et 44 PPmin).</w:t>
      </w:r>
    </w:p>
    <w:p>
      <w:r>
        <w:t>- 8 - Par ces motifs, la Chambre des recours pénale prononce : I. Le recours est irrecevable. II. Les frais d’arrêt, par 385 fr. (trois cent huitante-cinq francs), sont laissés à la charge de l’Etat. III. L’arrêt est exécutoire. La présidente : Le greffier : Du Le présent arrêt, dont la rédaction a été approuvée à huis clos, est notifié, par l'envoi d'une copie complète, à : - M. B.W.________, - Ministère public central, et communiqué à : - Mme la Présidente du Tribunal des mineurs,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