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PM19.021997 vom 10. Dezember 2021</w:t>
      </w:r>
    </w:p>
    <w:p>
      <w:r>
        <w:t>VD Tribunal cantonal, 2021-12-10, FR</w:t>
      </w:r>
    </w:p>
    <w:p>
      <w:r>
        <w:rPr>
          <w:b/>
        </w:rPr>
        <w:t xml:space="preserve">Quelle: </w:t>
      </w:r>
      <w:r>
        <w:t>https://mcp.opencaselaw.ch/entscheid/vd_gerichte_PM19.021997</w:t>
      </w:r>
    </w:p>
    <w:p>
      <w:r>
        <w:t>FR: VD_GERICHTE PM19.021997 du 10 décembre 2021</w:t>
      </w:r>
    </w:p>
    <w:p>
      <w:r>
        <w:t>IT: VD_GERICHTE PM19.021997 del 10 dicembre 2021</w:t>
      </w:r>
    </w:p>
    <w:p>
      <w:pPr>
        <w:pStyle w:val="Heading2"/>
      </w:pPr>
      <w:r>
        <w:t>Erwägungen</w:t>
      </w:r>
    </w:p>
    <w:p>
      <w:r>
        <w:rPr>
          <w:b/>
        </w:rPr>
        <w:t>E. 6</w:t>
      </w:r>
    </w:p>
    <w:p>
      <w:r>
        <w:t>X.________, qui conclut à son acquittement, ne conteste pas la peine en tant que telle. Procédant à son examen d’office, la Cour d’appel pénale considère que la peine de 18 demi-journées de prestations personnelles, à exécuter sous forme de travail, avec sursis pendant un an et accompagnement, a été fixée en application des critères légaux et conformément à la culpabilité et à la situation personnelle du prévenu. La Cour fait ainsi sienne la motivation du jugement attaqué à laquelle il peut être renvoyé (p. 13-14 ; art. 82 al. 4 CPP). A l’instar des premiers juges, elle considère que la culpabilité du prévenu est en effet très lourde. On relèvera en particulier qu’il a commis à trois reprises des attouchements sur un enfant de 10 ans, qui le considérait comme son frère (PV aud. n° 5, I. 677), et qu’il a profité sciemment (cf. PV aud. n° 3, I. 134 ss) de sa fragilité psychologique et de la « limitation cognitive » qu’il présentait.</w:t>
      </w:r>
    </w:p>
    <w:p>
      <w:r>
        <w:t>- 35 -</w:t>
      </w:r>
    </w:p>
    <w:p>
      <w:r>
        <w:rPr>
          <w:b/>
        </w:rPr>
        <w:t>E. 7</w:t>
      </w:r>
    </w:p>
    <w:p>
      <w:r>
        <w:t>La condamnation du prévenu étant confirmée, les conclusions civiles allouées à A.H.________ doivent l’être également, celles-ci n’étant pour le surplus pas contestées dans leur quotité. Pour le même motif, il n’y a pas lieu d’allouer à l’appelant l’indemnité au sens de l‘art. 429 CPP qu’il réclame.</w:t>
      </w:r>
    </w:p>
    <w:p>
      <w:r>
        <w:rPr>
          <w:b/>
        </w:rPr>
        <w:t>E. 8</w:t>
      </w:r>
    </w:p>
    <w:p>
      <w:r>
        <w:t>En définitive, l’appel doit être rejeté et le jugement entrepris intégralement confirmé. Le maintien au dossier des deux DVD de l’audition vidéo de A.H.________ du 12 août 2022, versés au dossier sous pièce 101/1, sera ordonné. Il n’y a pas lieu de s’écarter de la liste des opérations produite par Me Charlotte Iselin, défenseur d’office de X.________, si ce n’est pour tenir compte de la durée effective des débats d’appel et retrancher 45 minutes à ce titre. L’indemnité de défenseur d’office de Me Charlotte Iselin pour la procédure d’appel sera par conséquent fixée à 5'370 fr. 35, correspondant à 4'653 fr. 35 d’honoraires (25 heures et 45 minutes au tarif horaire d’avocat breveté de 180 fr. et 10 minutes au tarif horaire d’avocat-stagiaire de 110 fr.), à des débours forfaitaires à hauteur de 93 fr. 10 (les débours étant indemnisés à concurrence de 2 % du montant des honoraires admis et non 5 % comme requis, cf. art. 3bis RAJ [Règlement sur l’assistance judiciaire en matière civile du 7 décembre 2010 ; BLV 211.02.3], par renvoi de l’art. 26b TFIP [Tarif des frais de procédure et indemnités en matière pénale du 28 septembre 2010 ; BLV 312.03.1]), à deux vacations à 120 fr., par 240 fr., et à la TVA au taux de 7,7 %, par 383 fr. 95. Il n’y a également pas lieu de s’écarter de la liste des opérations produite par Me Gloria Capt, conseil juridique gratuit de A.H.________, si ce n’est pour y ajouter 1 heure et 45 minutes pour les débats d’appel ainsi qu’une vacation. L’indemnité allouée à Me Gloria Capt pour la procédure d’appel sera par conséquent fixée à 4'147 fr. 30,</w:t>
      </w:r>
    </w:p>
    <w:p>
      <w:r>
        <w:t>- 36 - correspondant à 3'540 fr. d’honoraires (19 heures et 40 minutes au tarif horaire de 180 fr.), à des débours forfaitaires à hauteur de 70 fr. 80, à deux vacations à 120 fr., par 240 fr., et à la TVA au taux de 7,7 %, par 296 fr. 50. Vu l’issue de la cause, les frais de la procédure d’appel, par 10'927 fr. 65, constitués des émoluments de jugement et d’audience réduits de moitié (art. 21 al. 3 TFIP [Tarif des frais de procédure et indemnités en matière pénale du 28 septembre 2010; BLV 312.03.1]), par 1’410 fr., ainsi que des indemnités allouées au conseil et au défenseur d’office ci-dessus, par 9'517 fr. 65, seront mis à la charge de l’appelant, qui succombe (art. 428 al. 1, 1re phrase, CPP). X.________ sera tenu de rembourser à l’Etat le montant des indemnités allouées aux défenseur et conseil d’office ci-dessus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