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PM19.017640 vom 22. Januar 2020</w:t>
      </w:r>
    </w:p>
    <w:p>
      <w:r>
        <w:t>VD Tribunal cantonal, 2020-01-22, FR</w:t>
      </w:r>
    </w:p>
    <w:p>
      <w:r>
        <w:rPr>
          <w:b/>
        </w:rPr>
        <w:t xml:space="preserve">Quelle: </w:t>
      </w:r>
      <w:r>
        <w:t>https://mcp.opencaselaw.ch/entscheid/vd_gerichte_PM19.017640</w:t>
      </w:r>
    </w:p>
    <w:p>
      <w:r>
        <w:t>FR: VD_GERICHTE PM19.017640 du 22 janvier 2020</w:t>
      </w:r>
    </w:p>
    <w:p>
      <w:r>
        <w:t>IT: VD_GERICHTE PM19.017640 del 22 gennaio 2020</w:t>
      </w:r>
    </w:p>
    <w:p>
      <w:pPr>
        <w:pStyle w:val="Heading2"/>
      </w:pPr>
      <w:r>
        <w:t>Erwägungen</w:t>
      </w:r>
    </w:p>
    <w:p>
      <w:r>
        <w:rPr>
          <w:b/>
        </w:rPr>
        <w:t>E. 1</w:t>
      </w:r>
    </w:p>
    <w:p>
      <w:r>
        <w:t>Conformément à l’art. 39 al. 1 PPMin (Loi fédérale sur la procédure pénale applicable aux mineurs du 20 mars 2009, RS 312.1), la recevabilité et les motifs du recours sont régis par l’art. 393 CPP. Une décision du juge des mineurs, fondée sur les art. 24 et 25 PPmin est ainsi susceptible de recours (art. 393 al. 1 let. a CPP ; CREP 5 octobre 2012/688). La compétence pour statuer sur les recours appartient à l’autorité de recours (art. 39 al. 3 PPMin) qui est, dans le canton de Vaud, la Chambre des recours pénale du Tribunal cantonal (art. 18 al. 1 LVPPMin [Loi d'introduction de la loi fédérale du 20 mars 2009 sur la procédure pénale applicable aux mineurs, BLV 312.05] ; CREP 12 décembre 2017/857 consid.1.1 et les références citées). Interjeté dans le délai légal de dix jours de l'art. 396 al. 1 CPP, par le prévenu qui a la qualité pour recourir (art. 38 al. 1 let. a PPMin), et satisfaisant aux prescriptions de forme de l'art. 385 al. 1 CPP, le recours est recevable.</w:t>
      </w:r>
    </w:p>
    <w:p>
      <w:r>
        <w:rPr>
          <w:b/>
        </w:rPr>
        <w:t>E. 2</w:t>
      </w:r>
    </w:p>
    <w:p>
      <w:r>
        <w:t>O.________ estime avoir droit à un défenseur d'office en application de l'art. 24 let. b PPMin dont les réquisits seraient réunis.</w:t>
      </w:r>
    </w:p>
    <w:p>
      <w:r>
        <w:t>- 5 -</w:t>
      </w:r>
    </w:p>
    <w:p>
      <w:r>
        <w:rPr>
          <w:b/>
        </w:rPr>
        <w:t>E. 2.1</w:t>
      </w:r>
    </w:p>
    <w:p>
      <w:r>
        <w:t>Aux termes de l’art. 24 PPMin, le prévenu mineur doit avoir un défenseur dans les cas suivants : il est passible d’une privation de liberté de plus d’un mois ou d’un placement (let. a) ; il ne peut pas suffisamment défendre ses intérêts dans la procédure et ses représentants légaux ne le peuvent pas non plus (let. b) ; la détention provisoire ou la détention pour des motifs de sûreté a duré plus de 24 heures (let. c) ; il est placé dans un établissement à titre provisionnel (let. d) ; le ministère public des mineurs ou le procureur des mineurs intervient personnellement aux débats (let. e). Les conditions de l’art. 24 PPMin ne sont pas expressément reliées dans le texte légal par la conjonction « ou ». Il résulte toutefois clairement du texte et du but de l’art. 24 PPMin que les lettres a à e constituent des conditions alternatives et non cumulatives (ATF 138 IV 35 consid. 6.1, JdT 2012 IV 200 ; CREP 12 octobre 2016/677 consid. 2.2.1 et les références citées).</w:t>
      </w:r>
    </w:p>
    <w:p>
      <w:r>
        <w:rPr>
          <w:b/>
        </w:rPr>
        <w:t>E. 2.2</w:t>
      </w:r>
    </w:p>
    <w:p>
      <w:r>
        <w:t>En vertu de l’art. 25 al. 1 PPMin, l'autorité compétente désigne un défenseur d'office lorsque le prévenu mineur doit avoir un défenseur et que l'une des conditions suivantes est remplie: le prévenu mineur ou ses représentants légaux n'ont pas choisi de défenseur malgré une sommation (let. a) ; le défenseur s'est vu retirer son mandat ou l'a abandonné et le prévenu mineur ou ses représentants légaux n'ont pas désigné un nouveau défenseur dans le délai imparti (let. b) ; le prévenu mineur et ses représentants légaux ne disposent pas des ressources financières nécessaires (let. c).</w:t>
      </w:r>
    </w:p>
    <w:p>
      <w:r>
        <w:rPr>
          <w:b/>
        </w:rPr>
        <w:t>E. 2.2.1</w:t>
      </w:r>
    </w:p>
    <w:p>
      <w:r>
        <w:t>et les références citées).</w:t>
      </w:r>
    </w:p>
    <w:p>
      <w:r>
        <w:t>- 6 -</w:t>
      </w:r>
    </w:p>
    <w:p>
      <w:r>
        <w:rPr>
          <w:b/>
        </w:rPr>
        <w:t>E. 2.3</w:t>
      </w:r>
    </w:p>
    <w:p>
      <w:r>
        <w:t>En procédure pénale des mineurs, il y a en principe lieu d’examiner avec largesse la notion de droit à un défenseur d’office (ATF 138 IV 35 consid. 6.3, JdT 2012 IV 200 ; CREP 12 octobre 2016/677 consid.</w:t>
      </w:r>
    </w:p>
    <w:p>
      <w:r>
        <w:rPr>
          <w:b/>
        </w:rPr>
        <w:t>E. 3</w:t>
      </w:r>
    </w:p>
    <w:p>
      <w:r>
        <w:t>Comme le relève justement le recourant, l'affaire est loin d'être anodine, et il suffit de prendre connaissance de la plainte du 2 septembre 2019 déposée contre O.________ pour s'en convaincre (cf. page 2). On ajoutera que l'intéressé ne peut pas être défendu par son père et/ou par sa mère, qu'il invoque la légitime défense, que les faits ne paraissent pas encore circonscrits, et que la cause pourrait prendre de l'ampleur s'il s'avérait, comme le prétend le recourant, que d'autres protagonistes ont également déposé plainte. Au vu de ces éléments, on ne saurait admettre que le recourant puisse efficacement se défendre seul dans la présente affaire, le plaignant étant d'ailleurs lui-même assisté par une avocate. Ainsi, contrairement à ce que retient la Présidente du Tribunal des mineurs, les réquisits de l'art. 24 let. b PPMin sont remplis. De plus, la quotité de la peine étant encore incertaine, au vu de la nature des faits reprochés, il n'est pas possible d'affirmer que les limites minimales posées par l'art. 24 let. a PPMin ne seraient pas atteintes. Enfin, la condition d'indigence est manifestement remplie, la mère de O.________ bénéficiant du RI (P. 14/3) et faisant l'objet de poursuites (P. 9/3) (art. 25 al. 1 PPMin let. c).</w:t>
      </w:r>
    </w:p>
    <w:p>
      <w:r>
        <w:rPr>
          <w:b/>
        </w:rPr>
        <w:t>E. 4</w:t>
      </w:r>
    </w:p>
    <w:p>
      <w:r>
        <w:t>Au vu de ce qui précède, le recours doit être admis et l’ordonnance attaquée réformée en ce sens que l'avocate [...] est désignée en qualité de défenseur d’office de O.________. La désignation prendra effet au jour du dépôt de la demande, le 19 novembre 2019 (cf. CREP 24 juillet 2018/559; CREP 15 avril 2016/251 ; CREP 4 octobre 2019/811 consid. 3 et les références citées). Le recourant ayant obtenu gain de cause, les frais de la procédure de recours, constitués en l’espèce de l’émolument d’arrêt, par 385 fr. (art. 20 al. 2 TFIP [Tarif des frais de procédure et indemnités en matière pénale du 28 septembre 2010; BLV 312.03.1]), ainsi que de l’indemnité allouée à son défenseur d’office, arrêtée à 360 fr., plus les débours forfaitaires, à concurrence de 2% (art. 3bis al. 1 RAJ [Règlement sur l'assistance judiciaire en matière civile du 7 décembre 2010;</w:t>
      </w:r>
    </w:p>
    <w:p>
      <w:r>
        <w:t>- 7 - BLV 211.02.3], applicable par renvoi de l’art. 26b TFIP), par 7 fr. 20, plus la TVA par 28 fr. 30, soit à 395 fr. 50 au total, seront laissés à la charge de l’Etat (art. 428 al. 1 CPP ; CREP 4 octobre 2019/811 consid. 3 et les références citées). Par ces motifs, la Chambre des recours pénale prononce : I. Le recours est admis. II. L'ordonnance du 3 décembre 2019 est réformée en ce sens que Me [...] est désignée en qualité de défenseur d'office de O.________ avec effet au 19 novembre 2019. Elle est confirmée pour le surplus. III. L’indemnité allouée au défenseur d’office de O.________ pour la procédure de recours est fixée à 395 fr. 50 (trois cent nonante-cinq francs et cinquante centimes).</w:t>
      </w:r>
    </w:p>
    <w:p>
      <w:r>
        <w:t>- 8 - IV. Les frais d'arrêt, par 385 fr. (trois cent huitante-cinq francs), ainsi que l'indemnité due au défenseur d'office de O.________, par 395 fr. 50 (trois cent nonante-cinq francs et cinquante centimes), sont laissés à la charge de l'Etat. V. L’arrêt est exécutoire. Le président : La greffière : Du Le présent arrêt, dont la rédaction a été approuvée à huis clos, est notifié, par l'envoi d'une copie complète, à : - Me Florence Aebi, avocate (pour O.________). - Mme B.________, - Ministère public central, et communiqué à : - Mme la Présidente du Tribunal des mineurs, -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- 9 - 1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