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PM19.013591 vom 22. März 2021</w:t>
      </w:r>
    </w:p>
    <w:p>
      <w:r>
        <w:t>VD Tribunal cantonal, 2021-03-22, FR</w:t>
      </w:r>
    </w:p>
    <w:p>
      <w:r>
        <w:rPr>
          <w:b/>
        </w:rPr>
        <w:t xml:space="preserve">Quelle: </w:t>
      </w:r>
      <w:r>
        <w:t>https://mcp.opencaselaw.ch/entscheid/vd_gerichte_PM19.013591</w:t>
      </w:r>
    </w:p>
    <w:p>
      <w:r>
        <w:t>FR: VD_GERICHTE PM19.013591 du 22 mars 2021</w:t>
      </w:r>
    </w:p>
    <w:p>
      <w:r>
        <w:t>IT: VD_GERICHTE PM19.013591 del 22 marzo 2021</w:t>
      </w:r>
    </w:p>
    <w:p>
      <w:pPr>
        <w:pStyle w:val="Heading2"/>
      </w:pPr>
      <w:r>
        <w:t>Erwägungen</w:t>
      </w:r>
    </w:p>
    <w:p>
      <w:r>
        <w:rPr>
          <w:b/>
        </w:rPr>
        <w:t>E. 4</w:t>
      </w:r>
    </w:p>
    <w:p>
      <w:r>
        <w:t>Appel du Ministère public</w:t>
      </w:r>
    </w:p>
    <w:p>
      <w:r>
        <w:rPr>
          <w:b/>
        </w:rPr>
        <w:t>E. 4.1</w:t>
      </w:r>
    </w:p>
    <w:p>
      <w:r>
        <w:t>Le Ministère public fait grief au Tribunal des mineurs d’avoir renoncé à infliger une peine au prévenu.</w:t>
      </w:r>
    </w:p>
    <w:p>
      <w:r>
        <w:rPr>
          <w:b/>
        </w:rPr>
        <w:t>E. 4.2.1</w:t>
      </w:r>
    </w:p>
    <w:p>
      <w:r>
        <w:t>Aux termes de l'art. 47 CP, par renvoi de l'art. 1 al. 2 let b DPMin,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w:t>
      </w:r>
    </w:p>
    <w:p>
      <w:r>
        <w:t>- 19 -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6B_177/2021 du 8 novembre 2021 consid. 2.1).</w:t>
      </w:r>
    </w:p>
    <w:p>
      <w:r>
        <w:rPr>
          <w:b/>
        </w:rPr>
        <w:t>E. 4.2.2</w:t>
      </w:r>
    </w:p>
    <w:p>
      <w:r>
        <w:t>A teneur de l’art. 25 al. 1 DPMin, est passible d’une privation de liberté d’un jour à un an le mineur qui a commis un crime ou un délit s’il avait 15 ans le jour où il l’a commis.</w:t>
      </w:r>
    </w:p>
    <w:p>
      <w:r>
        <w:rPr>
          <w:b/>
        </w:rPr>
        <w:t>E. 4.3</w:t>
      </w:r>
    </w:p>
    <w:p>
      <w:r>
        <w:t>Les premiers juges ont renoncé à prononcer une peine au motif que celle-ci ne pouvait de toute manière pas être exécutée en droit pénal des mineurs dès lors que le prévenu avait atteint l’âge de 25 ans (art. 37 al. 2 DPMin ; jugement, p. 12). Ce faisant, les juges de première instance ont manifestement confondu les questions relatives au prononcé de la peine et celles concernant son exécution. Or, le prononcé d’une peine, même non exécutable, n’a rien d’anodin dans le cas d’espèce, au vu du contexte familial dans lequel les parties évoluent. L’absence de peine pourrait laisser entendre à l’entourage du prévenu que celui-ci a bénéficié d’un motif d’exemption au sens de l’art. 21 DPMin, ce qui n’est pas le cas. En outre, il apparaît que le prononcé d’une peine privative de liberté, au-delà</w:t>
      </w:r>
    </w:p>
    <w:p>
      <w:r>
        <w:t>- 20 - de la question de son exécution, impliquerait une inscription au casier judiciaire de l’intéressé en vertu de l’art. 366 al. 3 let. a CP, si bien que, comme le relève le Ministère public, il ne saurait être considéré qu’une sanction serait inutile seulement parce qu’elle ne pourrait pas être exécutée. La question de l’exécution apparaît d’autant moins pertinente en l’espèce que la peine à infliger doit l’être avec sursis, en l’absence d’antécédents du prévenu. L’appréciation de la culpabilité à laquelle a procédé le Tribunal des mineurs est adéquate et doit être confirmée (jugement, p. 11). Ainsi, celle-ci est lourde et la faute importante, le prévenu ayant sans cesse minimisé ses actes, ce qui dénote une absence de prise conscience de la gravité des faits et des conséquences délétères que ceux-ci ont eu sur la victime. Au vu de ces éléments, il se justifie de prononcer, à l’égard de Z.________, une peine sous forme de privation de liberté. Seuls les actes commis après que Z.________ a atteint l’âge de 15 ans, soit après le 20 juin 2007, sont néanmoins susceptibles de conduire au prononcé d’une peine privative de liberté. En l’absence de description temporelle exacte des faits, il n’est pas aisé d’identifier précisément ceux qui se sont produits entre cette date et le départ du prévenu en [...] en automne 2009. Toutefois, il est manifeste que tant des actes constitutifs de contrainte sexuelle que de viol ont eu lieu durant cette période de deux ans et demi, conformément aux déclarations constantes de la plaignante, qui a encore répété aux débats d’appel que les assauts de son cousin s’étaient répétés jusqu’à ce qu’elle ait l’âge de 13 ou 14 ans. En définitive, la Cour considère qu’au vu de la culpabilité et des actes de contrainte sexuelle et de viol commis par le prévenu, c’est une peine privative de liberté d’ensemble de 3 mois qui doit être prononcée à son encontre. L’intéressé sera mis au bénéfice du sursis, avec délai d’épreuve de 2 ans.</w:t>
      </w:r>
    </w:p>
    <w:p>
      <w:r>
        <w:t>- 21 - S’agissant des faits plus anciens, il y a lieu de renoncer à prononcer une sanction complémentaire, seule une réprimande, au sens de l’art. 22 DPMin, pouvant de toute manière entrer en ligne de compte.</w:t>
      </w:r>
    </w:p>
    <w:p>
      <w:r>
        <w:rPr>
          <w:b/>
        </w:rPr>
        <w:t>E. 5</w:t>
      </w:r>
    </w:p>
    <w:p>
      <w:r>
        <w:t>En définitive, l’appel de Z.________ doit être rejeté alors que celui du Ministère public sera partiellement admis et le jugement entrepris réformé dans le sens des considérants. Sur la base de la liste des opérations produite par le défenseur d’office de Z.________ (P. 52), dont il n’y a pas lieu de s’écarter s’agissant des heures annoncées, c’est une indemnité pour la procédure d’appel d’un montant de 1'810 fr., correspondant à 8 heures et 30 minutes de travail d’avocat au tarif horaire de 180 fr., par 1'530 fr., des débours forfaitaires – limités forfaitairement à 2 % du défraiement hors taxe en deuxième instance (cf. art. 3bis al. 1 RAJ [Règlement sur l’assistance judiciaire en matière civile du 7 décembre 2010 ; BLV 211.02.3], applicable par renvoi de l’art. 26b TFIP [Tarif des frais de procédure et indemnités en matière pénale du 28 septembre 2010 ; BLV 312.03.1]) –, par 30 fr. 60, une vacation, par 120 fr., et la TVA, par 129 fr. 40, qui sera allouée à Me Marc Cheseaux. Sur la base de la liste des opérations produite par Me Coralie Devaud (P. 53), dont il n’y a pas lieu de s’écarter non plus si ce n’est pour tenir compte du temps effectif consacré à l’audience d’appel, c’est une indemnité de 1'342 fr. 90, correspondant à 10 heures et 24 minutes d’activité d’avocat-stagiaire au tarif horaire de 110 fr., par 1'144 fr., des débours de 2 %, par 22 fr. 90, une vacation, par 80 fr., et la TVA, par 96 fr., qui sera allouée au conseil d’office de B.L.________ pour la procédure d’appel. Vu l’issue de la cause, les frais de la procédure d’appel, par 4'232 fr. 90, constitués de l’émolument d’audience et de jugement réduit de moitié, par 1'080 fr. (cf. art. 21 TFIP), ainsi que des indemnités allouées au défenseur d’office de Z.________, par 1'810 fr., et au conseil juridique gratuit de B.L.________, par 1'342 fr. 90, seront mis à la charge de</w:t>
      </w:r>
    </w:p>
    <w:p>
      <w:r>
        <w:t>- 22 - Z.________, qui succombe (art. 428 al. 1, 1re phrase, CPP, par renvoi de l’art. 44 al. 2 PPMin [Loi fédérale sur la procédure pénale applicable aux mineurs du 20 mars 2009 ; RS 312.1]). Z.________ ne sera toutefois tenu de rembourser à l’Etat les montants des indemnités d’office allouées que lorsque sa situation financière le permettra (art. 135 al. 4 let. a CPP ; art. 25 al. 2 PPMin).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