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PM19.010244 vom 15. Februar 2021</w:t>
      </w:r>
    </w:p>
    <w:p>
      <w:r>
        <w:t>VD Tribunal cantonal, 2021-02-15, FR</w:t>
      </w:r>
    </w:p>
    <w:p>
      <w:r>
        <w:rPr>
          <w:b/>
        </w:rPr>
        <w:t xml:space="preserve">Quelle: </w:t>
      </w:r>
      <w:r>
        <w:t>https://mcp.opencaselaw.ch/entscheid/vd_gerichte_PM19.010244</w:t>
      </w:r>
    </w:p>
    <w:p>
      <w:r>
        <w:t>FR: VD_GERICHTE PM19.010244 du 15 février 2021</w:t>
      </w:r>
    </w:p>
    <w:p>
      <w:r>
        <w:t>IT: VD_GERICHTE PM19.010244 del 15 febbraio 2021</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A.M.________ et B.M.________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w:t>
      </w:r>
    </w:p>
    <w:p>
      <w:r>
        <w:t>Les appelants font valoir que le Tribunal des mineurs s'est contenté de mentionner dans son jugement les éléments permettant de justifier l'acquittement sans discuter des éléments qui pouvaient être</w:t>
      </w:r>
    </w:p>
    <w:p>
      <w:r>
        <w:t>- 12 - retenus à l'encontre de l'intimé et qui constituaient un faisceau d'indices suffisant pour emporter la conviction de l'autorité intimée. Il fallait en particulier tenir compte de la dérive de l'intimé en matière sexuelle à l'époque des faits, dénoncée par la psychologue scolaire, de la corrélation temporelle de cette constatation avec les faits dénoncés par les plaignants, des explications fournies par A.M.________ à sa psychologue scolaire en décembre 2018, du modus operandi, qui était le même pour les deux plaignants, de l'absence de rancune et d'acharnement des plaignants ou de leurs parents et enfin du fait que l'intimé s'était rétracté s'agissant de la levée du secret médical de D.________.</w:t>
      </w:r>
    </w:p>
    <w:p>
      <w:r>
        <w:rPr>
          <w:b/>
        </w:rPr>
        <w:t>E. 3.1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[CR CPP],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w:t>
      </w:r>
    </w:p>
    <w:p>
      <w:r>
        <w:t>- 13 -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 ATF 144 IV 345 précité consid. 2.2.3.3 ; ATF 143 IV 500 consid. 1.1).</w:t>
      </w:r>
    </w:p>
    <w:p>
      <w:r>
        <w:rPr>
          <w:b/>
        </w:rPr>
        <w:t>E. 3.2.1</w:t>
      </w:r>
    </w:p>
    <w:p>
      <w:r>
        <w:t>Les premiers juges ont commencé par relever l'enfance difficile de Q.________. Venu habiter chez sa grand-mère à [...], il est ressorti des déclarations de D.M.________ et C.M.________ et ainsi que de celles de G.________ que les habitants du village parlaient entre eux de plusieurs histoires inquiétantes à propos de Q.________, sans toutefois avoir la certitude de l'implication du prévenu et sans connaître les détails et qu'il faisait l'objet de rumeurs, stigmatisé comme délinquant sexuel. Cette appréciation ne peut toutefois être suivie. En effet, il ressort de l'instruction, en particulier du dossier d’exécution archivé concernant Q.________ (P. 27), que ce dernier avait eu d'autres comportements sexuels inappropriés au moment des faits. Ainsi, la DGEJ relaye dans son rapport final du 2 juin 2017, qu'avant même leur</w:t>
      </w:r>
    </w:p>
    <w:p>
      <w:r>
        <w:t>- 14 - intervention et avant l'ordonnance pénale de 2013, par laquelle il a été sanctionné pour contravention à l'intégrité sexuelle, Q.________ avait déjà procédé à des appels téléphoniques à connotation sexuelle à des femmes proches de sa grand-mère. Il avait dès lors commencé un suivi en 2012 auprès de Familles solidaires. Le traitement ambulatoire ordonné par le Tribunal des mineurs auprès d'ESPAS a débuté en 2013. Il faudra attendre le 20 septembre 2017 pour que le responsable clinique requiert d'être relevé de son mandat. Nul doute qu'il l'aurait fait préalablement si le prévenu n'avait pas eu besoin de leur soutien. Qui plus est, c'est en raison de la rupture du suivi que le responsable dit ne plus pouvoir accompagner le prévenu tout en expliquant que le parcours ESPAS lui avait été profitable. Le rapport de police fait d'ailleurs état des antécédents du prévenu, connu pour des affaires de mœurs, entendu en 2011 après avoir envoyé des SMS à caractère sexuel à plusieurs femmes du village de [...] et pour avoir touché les fesses de l'une d'entre elle, arrivant à la conclusion que Q.________ a été l'auteur de plusieurs événements en lien avec des mœurs durant une période proche de celle de l'agression précitée (P. 11). Le fait que le prévenu ait refusé que D.________, qui assurait son suivi auprès d'ESPAS, soit déliée du secret médical aux débats de première instance est un indice supplémentaire qu'il n'était pas exempt de reproche quant à son comportement sexuel au moment de son entrée dans l’adolescence. Compte tenu de ce qui précède, on doit admettre qu'au moment des faits dénoncés par les plaignants, Q.________ avait, globalement, un comportement sexuel dérangeant pour lequel il a finalement été pris en charge, et qu'il ne s'agissait pas de stigmatisation ou de simples rumeurs colportées dans un petit village.</w:t>
      </w:r>
    </w:p>
    <w:p>
      <w:r>
        <w:rPr>
          <w:b/>
        </w:rPr>
        <w:t>E. 3.2.2</w:t>
      </w:r>
    </w:p>
    <w:p>
      <w:r>
        <w:t>Les premiers juges ont ensuite estimé qu'il y avait des divergences importantes entre les déclarations des deux plaignants ou des incohérences dans leurs déclarations si bien que le Tribunal ne disposait pas d'indices suffisants pour se persuader de l'implication de Q.________. En outre, pour le Tribunal, même à se persuader de l'implication du prévenu, encore faudrait-il pouvoir déterminer ce qu'il s'est réellement</w:t>
      </w:r>
    </w:p>
    <w:p>
      <w:r>
        <w:t>- 15 - passé, ce que le résultat de l'enquête ne permettait pas. Une première contradiction résulterait du fait que A.M.________ a parfois dit avoir révélé les faits à sa mère et parfois à son père. La révélation est intervenue le 17 décembre 2018 (P. 20). L'instruction a mis en évidence le contexte de la révélation, à savoir que c'est au moment où A.M.________ apprend la signification du mot « enculer » qu'il comprend ce qu'il s'est passé avec Q.________ et qu'il en parle. Dans ses notes, la psychologue [...] dit qu'il demande à son père la signification du mot (P. 20) puis en audition, elle dira qu'il en a parlé à son père puis à sa mère. De son côté, la mère déclare que l'enfant lui a dit, alors qu'il prenait son bain, « mais il n'était pas gentil Q.________ » « non, et en plus il m'a enculé ». Le contexte (cf PV aud. 7, I. 75 ss) n'a rien d'étonnant et ne laisse pas apparaître que les événements auraient été suggérés. Par ailleurs, le fait que le traumatisme se soit réveillé de cette manière, soit, comme l'explique l'enfant, « qu’il a toujours su qu'il s'était passé quelque chose mais qu'il avait vraiment réalisé ce qu'il s'était passé le jour où il avait appris le mot « enculé » (PV aud. 7 p. 4) apparaît tout à fait possible. Quant à B.M.________, il n'a pas révélé les faits à ses parents mais à la police directement, en mai 2019, après avoir demandé à déposer plainte à l'infirmier scolaire, ne souhaitant pas que ses parents soient au courant (PV aud. 1 p. 2 ; PV aud. 7 p. 11). Il voulait en parler pour que cela ne prenne trop de place (PV aud. 1 p. 3 ; DVD), parce que c'était trop grave pour qu'il garde le silence (PV aud. 9 p. 2) et pour que Q.________ soit jugé pour ce qu'il a fait (P. 20). Les faits sont révélés dans deux contextes différents, le cadet parle à son thérapeute et ne veut pas porter plainte tandis que l'aîné demande directement à déposer plainte. Les deux frères n'ont pas parlé entre eux des événements, sauf une fois de manière laconique (PV aud. 9 I. 37-38 et 153-154), soit en ces termes « est-ce que tu te souviens de ce que Q.________ nous a fait ? » - « oui ». Il résulte d'ailleurs de l'ensemble du dossier que les deux frères ne souhaitaient pas en parler en famille. Ainsi, il n'y a pas lieu d'imaginer qu'ils se sont construits des faux-souvenirs qui auraient été suggérés par des tiers ou des rumeurs.</w:t>
      </w:r>
    </w:p>
    <w:p>
      <w:r>
        <w:t>- 16 - Reste la question du manque de précision dans la description des faits ou d'éventuelles incohérences dans les propos des plaignants. Q.________ est renvoyé pour trois comportements successifs. B.M.________ a dénoncé un seul abus (PV aud. 9, I. 83ss) et A.M.________ est confus sur le fait qu'il y en aurait eu un autre, au préalable (PV aud. 4, P. 20), ce qui pourrait tout aussi bien être un souvenir construit du même événement mais sans la participation de son frère, comme cela ressort des déclarations de la thérapeute de l’enfant (PV aud. 7 p. 5 I. 151 ss). Cela renforce le doute – qui doit profiter au prévenu – concernant les événements décrits aux chiffres 1.2 et 1.3 de l’acte d’accusation (cf. ch. 2.1.2 et 2.1.3 supra). S'agissant en revanche de l'événement décrit au chiffre 1.1 de l’acte d’accusation (cf. ch. 2.1.1 supra), il ressort des auditions des plaignants qu’ils étaient allés uriner pas loin de chez eux, à proximité d'arbres ou de buissons, qu'ils avaient les pantalons baissés, que le prévenu a tenté de pénétrer analement B.M.________, sans succès, puis A.M.________. Quand des précisions ont été demandées à l'un et l'autre des plaignants, elles ont été fournies avec parcimonie (DVD A.M.________ dès 12.47 et B.M.________ dès 9.40). B.M.________ dit qu'il ne se rappelle pas la position de Q.________ parce qu'il était dans son dos (PV aud. 1 p. 3), qu'il a ensuite vu clairement le pénis de Q.________ en érection rentrer dans les fesses de son petit frère (ibidem), alors qu'il a dit en audition LAVI ne pas avoir vu son sexe parce qu'il regardait son frère et pas le prévenu. A.M.________ dit avoir senti « un gros truc rentrer dans son cul, s'être retourné et avoir vu le sexe de Q.________» (PV aud. 4 p. 2), qui était gros et dur (DVD 19.34). Il précise que Q.________ est rentré un petit peu dans son anus mais qu'il n'a pas eu mal les jours suivants (PV aud. 4 p. 3). Devant le Tribunal des Mineurs, B.M.________ décrit les faits de la même manière : « Q.________ a mis son sexe dans mon anus alors qu'il faisait pipi. C'était au bord d'une haie. Je ne sais pas s'il a mis son sexe entre mes fesses ou plus loin, je ne m'en souviens pas. Après il est allé vers mon frère. Quand il m'a fait ça, j'ai dit « arrête, ça me gêne ». Il est donc allé vers mon frère. Mon frère était à droite, la distance je m'en rappelle plus. Il était à quelques mètres. » (PV aud. 9 I. 45 ss). B.M.________ déclare</w:t>
      </w:r>
    </w:p>
    <w:p>
      <w:r>
        <w:t>- 17 - ensuite ne pas se souvenir si Q.________ était déshabillé ni s'il avait les jambes pliées (PV aud. 9 I. 76 ss). Ce manque de détail peut parfaitement s'expliquer par l'écoulement du temps. Reste la problématique du positionnement du prévenu au moment de la pénétration de A.M.________. Certes, au moment des faits, la différence d'âge entre Q.________ (il avait 13 ou 14 ans) et les plaignants A.M.________ avait entre 3 et 4 ans alors que B.M.________ était âgé de 5 ou 6 ans), apparaît problématique en raison de la différence de taille vraisemblablement importante, mais n'est pas incompatible avec le fait que le prévenu ait tenté sans succès de mettre son sexe dans l’anus de B.M.________ puis qu’il a mis une partie de son sexe dans l'anus de A.M.________. L'appréciation de tous les éléments du dossier ne laisse pas un doute insurmontable quant aux éléments factuels décrits au chiffre 1.1 de l’acte d’accusation, soit le fait que Q.________ a mis son sexe entre les fesses ou dans l'anus de B.M.________, puis de A.M.________, ce qui justifie une condamnation.</w:t>
      </w:r>
    </w:p>
    <w:p>
      <w:r>
        <w:rPr>
          <w:b/>
        </w:rPr>
        <w:t>E. 4</w:t>
      </w:r>
    </w:p>
    <w:p>
      <w:r>
        <w:t>Sur la base des faits retenus, il convient de définir la qualification juridique des comportements reprochés à Q.________.</w:t>
      </w:r>
    </w:p>
    <w:p>
      <w:r>
        <w:rPr>
          <w:b/>
        </w:rPr>
        <w:t>E. 4.1.1</w:t>
      </w:r>
    </w:p>
    <w:p>
      <w:r>
        <w:t>Aux termes de l'art. 187 ch. 1 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(TF 6B_1019/2018 du 2 novembre 2018 consid. 3.3; TF 6B_732/2018 du 18 septembre 2018 consid. 3.1.3 et les arrêts cités).</w:t>
      </w:r>
    </w:p>
    <w:p>
      <w:r>
        <w:t>- 18 - Sur le plan subjectif, l'infraction de l'art. 187 ch. 1 CP requiert l'intention de l'auteur sur tous les éléments constitutifs objectifs de l'infraction (TF 6B_299/2018 du 4 juillet 2018 consid. 2.1.1; TF 6B_457/2010 du 8 septembre 2010 consid. 1.2.1). Il faut qu'il soit conscient du caractère sexuel de son comportement, mais ses motifs ne sont pas déterminants, de sorte qu'il importe peu que l'acte tende ou non à l'excitation ou à la jouissance sexuelle (TF 6B_299/2018 précité consid. 2.1.1; TF 6B_288/2017 du 19 janvier 2018 consid. 5.1; TF 6B_785/2011 du 29 juin 2012 consid. 3.2 et les références citées).</w:t>
      </w:r>
    </w:p>
    <w:p>
      <w:r>
        <w:rPr>
          <w:b/>
        </w:rPr>
        <w:t>E. 4.1.2</w:t>
      </w:r>
    </w:p>
    <w:p>
      <w:r>
        <w:t>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6B_71/2015 du 19 novembre 2015 consid. 2.1.2). L'art. 189 CP, tout comme l'art. 190 CP réprimant le viol,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et les arrêts cités). Les pressions d'ordre psychique concernent les cas où l'auteur provoque chez la victime des effets d'ordre psychique, tels que la surprise, la frayeur ou le sentiment d'une situation sans espoir, propres à la faire céder (ATF 128 IV 106 consid. 3a/bb ; ATF 126 IV 124 consid. 2b).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w:t>
      </w:r>
    </w:p>
    <w:p>
      <w:r>
        <w:t>- 19 - consid. 2.2 ; TF 6B_1265/2019 du 9 avril 2020 consid. 3.3.2 publié à l'ATF 146 IV 153). En introduisant la notion de « pressions psychiques », le législateur a voulu viser les cas où la victime se trouve dans une situation sans espoir, sans pour autant que l'auteur ait recouru à la force physique ou à la violence (ATF 128 IV 106 consid. 3a/bb ; ATF 122 IV 97 consid. 2b et les références citées).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et les références citées).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(TF 6B_326/2019 du 14 mai 2019 consid. 3.3.1). Dans un arrêt récent, le Tribunal fédéral a précisé la jurisprudence relative aux contraintes sexuelles commises par un auteur dans son proche entourage social, en particulier dans le cadre familial (ATF 146 IV 153). Il en ressort notamment que, dans ces configurations,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(consid. 3.5.5). Plus l'enfant est jeune, moins les exigences en matière de pressions psychiques sont élevées (consid. 3.3.3 et 3.5.7 et</w:t>
      </w:r>
    </w:p>
    <w:p>
      <w:r>
        <w:t>- 20 - les réf. citées). Selon les circonstances, une menace ou l'ordre explicite à l'enfant de se taire n'est pas nécessaire pour admettre l'usage de la contrainte (consid. 3.6.1).</w:t>
      </w:r>
    </w:p>
    <w:p>
      <w:r>
        <w:rPr>
          <w:b/>
        </w:rPr>
        <w:t>E. 4.1.3</w:t>
      </w:r>
    </w:p>
    <w:p>
      <w:r>
        <w:t>L'art. 191 CP punit celui qui, sachant qu'une personne est incapable de discernement ou de résistance, en aura profité pour commettre sur elle l'acte sexuel, un acte analogue ou un autre acte d'ordre sexuel. Cette disposition protège, indépendamment de leur âge et de leur sexe, les personnes incapables de discernement ou de résistance dont l’auteur, en connaissance de cause, entend profiter pour commettre avec elles un acte d’ordre sexuel (ATF 120 IV 194 consid. 2a ; TF 6B_140/2007 du 30 juillet 2007 consid. 5). A la différence de la contrainte sexuelle (art. 189 CP) et du viol (art. 190 CP), la victime est incapable de discernement ou de résistance, non en raison d’une contrainte exercée par l’auteur, mais pour d’autres causes. Une personne est incapable de discernement au sens de l'art. 191 CP si, au moment de l'acte, elle n'est pas en état de former sa volonté et de s'y tenir. La victime doit se trouver dans un état physique ou psychique qui, concrètement, l'empêche de s'opposer aux visées de l'auteur (TF 6B_578/2018 du 20 mars 2019 consid. 2.1) ; elle ne doit ainsi pas être en mesure de former, exprimer ou exercer efficacement une volonté de s'opposer à des atteintes sexuelles. Le Tribunal fédéral a considéré qu’un enfant âgé de 4 ans et 11 mois est incapable de discernement en raison de son très jeune âge car il ne réalise manifestement pas la signification des actes dont il est victime (ATF 120 IV 193 consid. 2d, JdT 1996 IV 42). Lorsque des actes d'ordre sexuel sont commis sur un enfant qui, en raison de son âge, est incapable de discernement, on doit admettre qu'il y a concours idéal entre les art. 187 et 191 CP puisque les dispositions protègent des biens juridiques différents (ATF 120 IV 194</w:t>
      </w:r>
    </w:p>
    <w:p>
      <w:r>
        <w:t>- 21 - consid. 2b, JdT 1996 IV 42 ; Dupuis et al. [éd], Petit Commentaire du Code pénal, 2e éd., Bâle 2017 n. 26 ad art. 191 CP et les références citées).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(TF 6S.359/2002 du 7 août 2003 consid. 5.2 et les références). Il n'y a pas d'infraction si l'auteur est convaincu, à tort, que la personne est capable de discernement ou de résistance au moment de l'acte (TF 6B_60/2015 du 25 janvier 2016 consid. 1.2.1).</w:t>
      </w:r>
    </w:p>
    <w:p>
      <w:r>
        <w:rPr>
          <w:b/>
        </w:rPr>
        <w:t>E. 4.2</w:t>
      </w:r>
    </w:p>
    <w:p>
      <w:r>
        <w:t>En l'espèce, il est établi qu'un contact corporel entre le sexe de l'auteur et les fesses des deux enfants a eu lieu. Il s'agit d'un acte clairement connoté sexuellement. Ces faits sont constitutifs de l'infraction d'acte d'ordre sexuel avec des enfants visée à l’art. 187 CP. Elle peut entrer en concours soit avec la contrainte sexuelle (art. 189 CP), soit avec l'acte d'ordre sexuel commis sur une personne incapable de discernement ou de résistance (art. 191 CP), les biens juridiquement protégés étant différents. Les deux plaignants étaient très jeunes et inexpérimentés. Tant A.M.________ que B.M.________ ne réalisaient pas la signification des actes subis, ce qui ressort de leurs déclarations (PV aud. 1 et 4). Ainsi, B.M.________ a déclaré « moi, je ne me rendais pas compte de ce qui se passait, je sentais que ça me dérangeait alors je lui ai dit d'arrêter. Sur le moment, je ne m'en rendais pas compte, bein du coup, ça ne m'a pas dérangé. » (PV aud. 1, 10 :41). Quant à A.M.________, il a expliqué qu'il s'était rappelé des faits dénoncés en apprenant à l'âge de neuf ans la signification du mot « enculé ». Il a précisé qu'il avait toujours su qu'il s'était passé quelque chose mais qu'il l'avait vraiment réalisé à ce moment-là (PV aud. 4, 22:18). Dans ces circonstances, il faut retenir</w:t>
      </w:r>
    </w:p>
    <w:p>
      <w:r>
        <w:t>- 22 - l'infraction prévue à l'art. 191 CP à l'exclusion de la contrainte sexuelle de l'art. 189 CP.</w:t>
      </w:r>
    </w:p>
    <w:p>
      <w:r>
        <w:rPr>
          <w:b/>
        </w:rPr>
        <w:t>E. 5</w:t>
      </w:r>
    </w:p>
    <w:p>
      <w:r>
        <w:t>Q.________ étant reconnu coupable d'actes d'ordre sexuel avec des enfants et d'actes d'ordre sexuel commis sur une personne incapable de discernement ou de résistance, il convient de fixer la peine à prononcer à son encontre.</w:t>
      </w:r>
    </w:p>
    <w:p>
      <w:r>
        <w:rPr>
          <w:b/>
        </w:rPr>
        <w:t>E. 5.1.1</w:t>
      </w:r>
    </w:p>
    <w:p>
      <w:r>
        <w:t>Aux termes de l'art. 47 CP, par renvoi de l'art. 1 al. 2 let b DPMin,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6B_65412018 du 5 septembre 2018 consid. 3.1).</w:t>
      </w:r>
    </w:p>
    <w:p>
      <w:r>
        <w:rPr>
          <w:b/>
        </w:rPr>
        <w:t>E. 5.1.2</w:t>
      </w:r>
    </w:p>
    <w:p>
      <w:r>
        <w:t>Selon l'art. 49 CP, si, en raison d'un ou de plusieurs actes, l'auteur remplit les conditions de plusieurs peines de même genre, le juge le condamne à la peine de l'infraction la plus grave et l'augmente dans</w:t>
      </w:r>
    </w:p>
    <w:p>
      <w:r>
        <w:t>- 23 -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(TF 6B_559/2018 du 26 octobre 2018 consid. 1.1.1)</w:t>
      </w:r>
    </w:p>
    <w:p>
      <w:r>
        <w:rPr>
          <w:b/>
        </w:rPr>
        <w:t>E. 5.1.3</w:t>
      </w:r>
    </w:p>
    <w:p>
      <w:r>
        <w:t>Si le mineur a commis un acte punissable et que l'enquête sur sa situation personnelle conclut à la nécessité d'une prise en charge éducative ou thérapeutique particulière, l'autorité de jugement ordonne les mesures de protection exigées par les circonstances, que le mineur ait agi de manière coupable ou non (art. 10 DPMin). Si le mineur a agi de manière coupable, l'autorité de jugement prononce une peine, en plus d'une mesure de protection ou comme seule mesure, l'exemption de peine étant réservée (art. 11 DPMin). Les peines pouvant être prononcées par l'autorité pénale des mineurs sont la réprimande (art. 22 DPMin), les prestations personnelles (art. 23 DPMin), l'amende (art. 24 DPMin) et la privation de liberté (art. 25 DPMin).</w:t>
      </w:r>
    </w:p>
    <w:p>
      <w:r>
        <w:rPr>
          <w:b/>
        </w:rPr>
        <w:t>E. 5.2</w:t>
      </w:r>
    </w:p>
    <w:p>
      <w:r>
        <w:t>En l'espèce, les infractions commises par le prévenu sont graves et la culpabilité est relativement lourde. Au moment des faits, il n'a</w:t>
      </w:r>
    </w:p>
    <w:p>
      <w:r>
        <w:t>- 24 - pas hésité à s'en prendre au plus jeune des plaignants après avoir été repoussé par l'aîné pour assouvir une pulsion sexuelle. A décharge, on doit tenir compte du fait que le prévenu a eu une enfance difficile, ayant perdu ses deux parents, et qu’il a rencontré des difficultés – a priori encore présentes – au moment de son entrée dans la vie adulte. Il a déjà été pris en charge, longuement, par l'ESPAS et fait encore l'objet d'un suivi tant psychothérapeutique qu’auprès de la DGEJ, qui semble bénéfique puisqu’il est en deuxième année d’apprentissage de menuisier à l’ORIF de [...]. L'amende n'est pas envisageable, dès lors qu'il n'est pas certain que le prévenu ait eu 15 ans au moment des faits objets de la procédure (art. 24 al. 1 DPMin). C’est ainsi une prestation personnelle non rémunérée qui doit être prononcée à son encontre qui pourra être arrêtée à dix jours, comme requis par le Ministère public dans son acte d’accusation. Le pronostic étant favorable, la peine doit être assortie du sursis, avec un délai d'épreuve de deux ans. Compte tenu de l’évolution favorable du prévenu, et au vu de l'étayage important déjà développé autour de lui, il ne se justifie pas d’ordonner une mesure de protection en sa faveur, d'autant plus que les événements reprochés ne sont pas récents.</w:t>
      </w:r>
    </w:p>
    <w:p>
      <w:r>
        <w:rPr>
          <w:b/>
        </w:rPr>
        <w:t>E. 6</w:t>
      </w:r>
    </w:p>
    <w:p>
      <w:r>
        <w:t>Les appelants ont conclu à l’allocation de 2'343 fr. 90 à titre de dommages et intérêts, ce montant représentant les quotes-parts des consultations du suivi psychologique de A.M.________ (712 fr. 90) et les déplacements y relatifs (1'631 fr.). Les appelants ont également sollicité l’allocation d'une indemnité pour tort moral de 5'000 fr. s'agissant de A.M.________ et de 3'000 fr. en faveur de B.M.________. Ils ont en outre requis qu’il leur soit donné acte de leurs réserves civiles pour le surplus dans la mesure où le suivi psychologique de A.M.________ n'était pas terminé et qu’un suivi psychologique de B.M.________ n'était pas exclu.</w:t>
      </w:r>
    </w:p>
    <w:p>
      <w:r>
        <w:rPr>
          <w:b/>
        </w:rPr>
        <w:t>E. 6.1</w:t>
      </w:r>
    </w:p>
    <w:p>
      <w:r>
        <w:t>D'après l'art. 41 CO (Code des obligations du 30 mars 2011 ; RS 220), celui qui cause, d'une manière illicite, un dommage à autrui, soit intentionnellement, soit par négligence ou imprudence, est tenu de le</w:t>
      </w:r>
    </w:p>
    <w:p>
      <w:r>
        <w:t>- 25 - réparer (al. 1). L'art. 42 al. 1 CO pose que la preuve du dommage incombe au demandeur. Aux termes de l'art. 42 al. 2 CO, lorsque le montant exact du dommage ne peut être établi, le juge le détermine équitablement en considération du cours ordinaire des choses et des mesures prises par la partie lésée. 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La détermination de l'indemnité pour tort moral relève du pouvoir d'appréciation du juge qui statue selon les règles du droit et de l’équité (art. 4 CC ;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II 117 consid. 2.2.2 ; (TF 4A_489/2007 du 22 février 2008 consid. 8.2).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 ATF 141 III 97 consid. 11.2).</w:t>
      </w:r>
    </w:p>
    <w:p>
      <w:r>
        <w:rPr>
          <w:b/>
        </w:rPr>
        <w:t>E. 6.2</w:t>
      </w:r>
    </w:p>
    <w:p>
      <w:r>
        <w:t>En l’espèce, s'agissant de A.M.________, on peut retenir les frais en lien avec sa thérapie à hauteur de 712 fr. 90 (P. 39 et 40) à titre de dommages et intérêts. Il n’y a en revanche pas lieu de rémunérer les frais de transport dans la mesure où, même si [...] paraît un peu isolé, on ne comprend pas bien pourquoi il a fallu consulter à Fribourg, Rolle ou Yverdon. Une indemnité pour tort moral de 5'000 fr. doit en outre être</w:t>
      </w:r>
    </w:p>
    <w:p>
      <w:r>
        <w:t>- 26 - allouée à A.M.________ au vu du traumatisme subi, attesté par les pièces du dossier (P. 17). S’agissant de B.M.________, et au vu du traumatisme subi (P. 20), il convient également de lui allouer le montant réclamé de 3'000 fr. à titre d’indemnité pour tort moral. Enfin, il y a lieu de donner aux appelants acte de leurs réserves civiles pour le surplus.</w:t>
      </w:r>
    </w:p>
    <w:p>
      <w:r>
        <w:rPr>
          <w:b/>
        </w:rPr>
        <w:t>E. 7</w:t>
      </w:r>
    </w:p>
    <w:p>
      <w:r>
        <w:t>Le défenseur d’office de Q.________ a interjeté un recours contre le jugement entrepris et se plaint que sa liste d’opérations a été réduite en violation des art. 135 al. 1 CPP et 2 al. 1 RAJ (règlement sur l'assistance judiciaire en matière civile du 7 décembre 2010 ; BLV 211.02.3).</w:t>
      </w:r>
    </w:p>
    <w:p>
      <w:r>
        <w:rPr>
          <w:b/>
        </w:rPr>
        <w:t>E. 7.1.1</w:t>
      </w:r>
    </w:p>
    <w:p>
      <w:r>
        <w:t>Lorsqu’une partie dépose un appel et que la juridiction d’appel entre en matière, l’intégralité des griefs concernant l’indemnité doit être traité dans le cadre de l’appel (cf. CREP 16 octobre 2017/749 consid. 1.1 et les réf. citées, JdT 2018 III 3).</w:t>
      </w:r>
    </w:p>
    <w:p>
      <w:r>
        <w:rPr>
          <w:b/>
        </w:rPr>
        <w:t>E. 7.1.2</w:t>
      </w:r>
    </w:p>
    <w:p>
      <w:r>
        <w:t>Le défenseur d'office, respectivement conseil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Dans le canton de Vaud, l'indemnité horaire de l’avocat d’office breveté est fixée à 180 fr., TVA en sus, et celle de l’avocat-stagiaire à 110 fr. (art. 2 al. 1 let. a et b RAJ applicable par renvoi de l'art. 26b TFIP [tarif des frais de procédure et indemnités en matière pénale du 28 septembre 2010 ; BLV 312.03.1]). L’autorité chargée de fixer</w:t>
      </w:r>
    </w:p>
    <w:p>
      <w:r>
        <w:t>- 27 -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w:t>
      </w:r>
    </w:p>
    <w:p>
      <w:r>
        <w:rPr>
          <w:b/>
        </w:rPr>
        <w:t>E. 7.2</w:t>
      </w:r>
    </w:p>
    <w:p>
      <w:r>
        <w:t>Le 15 février 2021, le recourant a produit une liste détaillée de ses opérations, effectuées du 9 août 2019 au 15 février 2021 en tant que défenseur d'office. Il y a indiqué avoir consacré 44 heures et 50 minutes à ce mandat et réclamait une indemnité du défenseur d'office de 9'506 fr. 55 (8'146 fr. 90 d'honoraires, 680 fr. de débours et 679 fr. 65 de TVA). Les premiers juges ont retranché un total de 11h30 de la liste des opérations telle que produite par l’avocat, considérant le temps allégué excessif. Ils ont retenu que le temps consacré à l'étude du dossier et à la préparation de l'audience du 23 janvier 2020, soit 8h30, était manifestement excessif et ont retranché 5h30 à ce poste. Ils ont ensuite retranché 30 minutes à l’opération « réquisitions de preuves et étude de dossier » du 18 juin 2020, 1 heure à l’opération « étude du dossier » du 20 octobre 2020, 1h à l'opération « étude du dossier et préparation de l'entretien avec le client » du 8 février 2021 et enfin 3h30 à l'opération « préparation audience (questions aux témoins, req. d'entrée de cause, plaidoirie) du 14 février 2021. Le recourant s’est ainsi vu allouer une indemnité de défenseur d’office de 7'689 fr. 10 (5'999 fr. 40 d'honoraires, 299 fr. 95 de débours, 840 fr. de vacation et 549 fr. 75 de TVA). L’appréciation des premiers juges ne peut être suivie. En effet, si le temps allégué par le recourant pour la préparation de l’audience du 23 janvier 2020, soit 8h30, est effectivement excessif, le retranchement de 5h30 réalisé l'est aussi, compte tenu des enjeux de cette audience. Par conséquent, il convient de ne retrancher que les 2h30 de « recherches sur les troubles mentaux et les abus sexuels en général », dès lors que</w:t>
      </w:r>
    </w:p>
    <w:p>
      <w:r>
        <w:t>- 28 - l'avocat pénaliste doit avoir un bagage général suffisant à cet égard sans prétendre pouvoir être rémunéré pour des recherches à chaque fois qu'il est confronté à un cas particulier. Les retranchements des 18 juin 2020 (30 minutes à l’opération « réquisitions de preuves et étude de dossier ») et 20 octobre 2020 (1 heure à l’opération « étude du dossier »), n'avaient pas non plus lieu d'être. En revanche, les retranchements d’une heure à l'opération du 8 février 2021 « étude du dossier et préparation de l'entretien avec le client » et de 3h30 à l'opération du 14 février 2021 « préparation audience (questions aux témoins, req. d'entrée de cause, plaidoirie) paraissent adéquats dès lors qu'à ce stade de la procédure, l'avocat d'office devait être suffisamment préparé pour ne pas consacrer encore 9h30 d'entretien avec le client et pour l’étude du dossier. Par conséquent, il convient de retrancher un total de 7 heures de la liste des opérations, pour retenir une activité d’avocat de 37 heures et 30 minutes. Au tarif horaire de 180 fr., cela représente des honoraires de 6’750 fr., auxquels il faut ajouter 135 fr. de débours, 840 fr. pour 7 vacations à 120 fr. et 594 fr. 85 de TVA, soit une indemnité d’office de 8'319 fr. 85. Le recours doit être admis dans cette mesure.</w:t>
      </w:r>
    </w:p>
    <w:p>
      <w:r>
        <w:rPr>
          <w:b/>
        </w:rPr>
        <w:t>E. 8</w:t>
      </w:r>
    </w:p>
    <w:p>
      <w:r>
        <w:t>En définitive, l’appel de A.M.________ et B.M.________ est partiellement admis en ce sens que Q.________ est reconnu coupable d’actes d’ordre sexuel avec des enfants et d’actes d’ordre sexuel commis sur une personne incapable de discernement ou de résistance pour les faits décrits au chiffre 1.1 de l’acte d’accusation du 8 octobre 2020. Le recours de Me Patrick Michod est également partiellement admis en ce sens que son indemnité d’office pour la procédure de première instance est fixée à 8'319 fr. 85. Le jugement rendu par le Tribunal des mineurs 15 février 2021 est réformé dans le sens des considérants. Me Yann Jaillet a produit une liste d’opérations faisant état d’une activité d’avocat de 10 heures, ce qui peut être admis. C’est ainsi une indemnité de conseil d'office de 2’106 fr. 60, TVA et débours inclus, qui lui sera allouée pour la procédure d'appel.</w:t>
      </w:r>
    </w:p>
    <w:p>
      <w:r>
        <w:t>- 29 - Me Patrick Michod a produit une liste d’opérations faisant état d’une activité d’avocat de 8h46, dont 4 heures consacrées à la rédaction du recours contre l’indemnité d’office allouée en première instance. La Cour de céans considère que 2 heures suffisaient pour la rédaction dudit recours et retient dès lors une activité d’avocat de 6h46 en tout. C’est ainsi une indemnité de défenseur d’office de 1'467 fr. 25, TVA et débours inclus, qui doit être allouée à Me Patrick Michod pour la procédure d’appel. Les frais de la procédure d’appel sont constitués par l'émolument de jugement et d’audience réduits de moitié (art. 21 TFIP [tarif des frais de procédure et indemnités en matière pénale du 28 septembre 2010 ; BLV 312.03.1]), par 1’560 fr., ainsi que par les indemnités d’offices allouées respectivement au défenseur d’office de l’intimé et au conseil d’office des plaignants. Les plaignants ont conclu à la condamnation du prévenu pour les trois cas cités dans l’acte d’accusation du 8 octobre 2020 alors que ce dernier n’est finalement condamné que pour un seul cas et libéré, au bénéfice du doute, pour les deux autres cas. Le dispositif notifié aux parties le 28 septembre 2021 ne tient pas compte de cette admission partielle et met, par erreur, l’entier des frais d’appel à la charge du prévenu. En application de l’art. 83 CPP, il convient de rectifier d’office la teneur des chiffres VII et VIII de ce dispositif, en ce sens que les frais de la procédure tels que décrits ci-dessus sont mis par un tiers à la charge du prévenu, le solde étant laissé à la charge de l’Etat (VII), Q.________ ne sera tenu de rembourser à l’Etat le tiers des indemnités en faveur de son défenseur d'office et du conseil d'office de B.M.________ et A.M.________ prévues au ch. IV et V ci-dessus que lorsque sa situation financière le permettra (VIII).</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