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PM19.008088 vom 1. Dezember 2020</w:t>
      </w:r>
    </w:p>
    <w:p>
      <w:r>
        <w:t>VD Tribunal cantonal, 2020-12-01, FR</w:t>
      </w:r>
    </w:p>
    <w:p>
      <w:r>
        <w:rPr>
          <w:b/>
        </w:rPr>
        <w:t xml:space="preserve">Quelle: </w:t>
      </w:r>
      <w:r>
        <w:t>https://mcp.opencaselaw.ch/entscheid/vd_gerichte_PM19.008088</w:t>
      </w:r>
    </w:p>
    <w:p>
      <w:r>
        <w:t>FR: VD_GERICHTE PM19.008088 du 1 décembre 2020</w:t>
      </w:r>
    </w:p>
    <w:p>
      <w:r>
        <w:t>IT: VD_GERICHTE PM19.008088 del 1 dicembre 2020</w:t>
      </w:r>
    </w:p>
    <w:p>
      <w:pPr>
        <w:pStyle w:val="Heading2"/>
      </w:pPr>
      <w:r>
        <w:t>Erwägungen</w:t>
      </w:r>
    </w:p>
    <w:p>
      <w:r>
        <w:rPr>
          <w:b/>
        </w:rPr>
        <w:t>E. 1</w:t>
      </w:r>
    </w:p>
    <w:p>
      <w:r>
        <w:t>Le prévenu T.________, né le [...] 2002, ressortissant français, est le quatrième d’une fratrie de cinq enfants. Il vit avec ses deux parents et sa sœur cadette à [...]. Il a effectué sa scolarité obligatoire en France, avant d’intégrer le [...] de [...]. Il a terminé son cursus en juillet 2020 par</w:t>
      </w:r>
    </w:p>
    <w:p>
      <w:r>
        <w:t>- 13 - un baccalauréat en sciences technologiques du management et de la gestion (BAC STMG), avec mention « bien ». Depuis lors, le prévenu a travaillé « pour faire de la logistique et de la mise en rayon », en France. Il a aussi été occupé brièvement dans une boulangerie et a fait de l’intérim. Il a travaillé deux mois et demi dans son pays, avant d’être engagé auprès de [...], à Morges, dès le 8 juillet 2021, à un taux variable d’environ 50 %, soit pour 22 heures par semaine environ et un salaire horaire brut de 22 fr. 50 (P. 38). Il fait les trajets depuis [...], en train ou avec des collègues. Il commencera une formation commerciale à l’Université d’Annecy le 27 septembre 2021. Cette formation se déroulera en alternance, soit deux jours en entreprise et trois jours à l’école. Elle est compatible avec son travail chez [...]. Le prévenu soutient qu’il ne traîne plus avec ses anciennes fréquentations depuis environ une année. Il joue au football à Coppet. Il accomplit des démarches pour être domicilié chez son cousin à Genève. Selon une attestation établie le 2 avril 2020 par [...], enseignante de droit et d’économie au [...] de [...] et professeure principale de terminale STMG, option mercatique, le prévenu dispose de toutes les compétences nécessaires à sa réussite scolaire. L’enseignante a notamment souligné ses qualités d’analyse fine, ses capacités rédactionnelles, sa motivation et son sérieux dans ses cours. Elle l’a en outre décrit comme un élève poli, respectueux, agréable et bien intégré.</w:t>
      </w:r>
    </w:p>
    <w:p>
      <w:r>
        <w:rPr>
          <w:b/>
        </w:rPr>
        <w:t>E. 2</w:t>
      </w:r>
    </w:p>
    <w:p>
      <w:r>
        <w:t>Le prévenu n’a aucun antécédent pénal en Suisse. L’extrait de casier judiciaire délivré le 26 juillet 2021 mentionne toutefois qu’il fait l’objet d’une enquête, ouverte le 15 mars 2020, pour tentative de meurtre et rixe. A l’audience d’appel, le défenseur de l’appelant a toutefois indiqué que le chef de prévention de tentative de meurtre avait été abandonné. Le 28 février 2018, le prévenu a été condamné par le Tribunal pour enfants de Bourg-en-Bresse à deux mois d’emprisonnement, avec sursis, pour extorsion par violence, menace ou contrainte de signature, promesse, secret, fonds, valeur ou bien (tentative) et extorsion commise</w:t>
      </w:r>
    </w:p>
    <w:p>
      <w:r>
        <w:t>- 14 - dans un établissement d’enseignement ou d’éducation ou aux abords, à l’occasion de l’entrée ou la sortie des élèves (tentative). A l’audience d’appel, il a indiqué que ce sursis n’avait pas été révoqué.</w:t>
      </w:r>
    </w:p>
    <w:p>
      <w:r>
        <w:t>- 15 -</w:t>
      </w:r>
    </w:p>
    <w:p>
      <w:r>
        <w:rPr>
          <w:b/>
        </w:rPr>
        <w:t>E. 3.1</w:t>
      </w:r>
    </w:p>
    <w:p>
      <w:r>
        <w:t>L’appelant conteste avoir participé à la seconde partie de l’altercation du 25 avril 2019, soit avoir poursuivi P.________ après que</w:t>
      </w:r>
    </w:p>
    <w:p>
      <w:r>
        <w:t>- 19 - celui-ci avait réussi à prendre la fuite, puis l’avoir roué une nouvelle fois de coups dans le parking du centre commercial.</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w:t>
      </w:r>
    </w:p>
    <w:p>
      <w:r>
        <w:t>- 20 -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3.3</w:t>
      </w:r>
    </w:p>
    <w:p>
      <w:r>
        <w:t>Lors de son audition par la police le 16 mai 2019, puis lors de l’audience d’appel, P.________ a formellement identifié le prévenu comme étant l’un de ses agresseurs. Il l’a mis en cause tant pour la première que pour la seconde partie de l’agression. Ainsi, il a tout d’abord reconnu, sur une planche photographique, quatre de ses agresseurs, à savoir [...], [...], [...] et [...]. Il a expliqué qu’il ne reconnaissait personne d’autres, qu’il n’avait jamais vu les susnommés auparavant, que des connaissances lui avaient donné leurs noms, qu’il y avait trois agresseurs principaux, soit [...], [...] et [...], que ceux-ci l’avaient frappé à tour de rôle avec des néons et deux planches en bois, qu’ils étaient une quinzaine au début, soit devant l’arrêt de bus de la Migros et finalement les trois individus en question dans le parking des employés de la Migros, durant la seconde phase des faits. Il a formellement reconnu, sur la planche photographique, le prévenu comme étant l’individu désigné du surnom de [...] (PV aud. 14). La victime a expressément maintenu ses propos à l’audience d’appel, ajoutant que « [c]e genre de choses ne s’oublie pas ». Rien ne permet de mettre en doute les déclarations de la victime, qui ne connaissait pas l’appelant avant les faits et dont elle conserve un souvenir vivace, contrairement à ce que fait plaider l’appelant. Partant, la participation du prévenu à l’agression du 25 avril 2019 dans sa totalité doit être admise. Les faits reprochés au prévenu sous chiffre 3.2 de l’état de fait doivent être retenus à sa charge. Pour le reste, la qualification de l’infraction n’est à juste titre pas contestée.</w:t>
      </w:r>
    </w:p>
    <w:p>
      <w:r>
        <w:rPr>
          <w:b/>
        </w:rPr>
        <w:t>E. 4.1</w:t>
      </w:r>
    </w:p>
    <w:p>
      <w:r>
        <w:t>L’appelant conteste les brigandages commis le 7 avril 2019 à l’encontre d’G.________ et de H.________. Il nie tout échange violent et avoir</w:t>
      </w:r>
    </w:p>
    <w:p>
      <w:r>
        <w:t>- 21 - dérobé, respectivement tenté de dérober, des effets aux deux prénommés.</w:t>
      </w:r>
    </w:p>
    <w:p>
      <w:r>
        <w:rPr>
          <w:b/>
        </w:rPr>
        <w:t>E. 4.2</w:t>
      </w:r>
    </w:p>
    <w:p>
      <w:r>
        <w:t>Les deux plaignants ont reconnu le prévenu sur une planche photographique et l’ont mis en cause pour ce brigandage durant l’enquête. Ainsi, lors de son audition du 15 juillet 2019, H.________ a reconnu l’appelant. Il a expliqué que ce dernier l’avait saisi par son collier avec les mains, le lui avait arraché, mais qu’il avait réussi à le récupérer; à l’audience d’appel, il a précisé qu’en mettant immédiatement une main devant sa poitrine, sur le collier, il était parvenu à empêcher que le prévenu ne s’empare de son bien; le collier avait ainsi été brisé, mais était resté en sa possession. T.________ avait également essayé de lui prendre sa ceinture, en vain (cf. PV aud. 17). Il a réitéré sans réserve ses affirmations à l’audience d’appel. Pour sa part, G.________ a relaté qu’à la gare, il s’était retrouvé avec H.________ « face à une bande de jeunes de couleur noir (sic) », que ces derniers étaient au nombre d’une petite dizaine, qu’ils les avaient entourés, qu’ils lui avaient pris sa casquette et ses airpods, qu’il avait également reçu des claques, sans savoir de combien de personnes. Ce plaignant a reconnu l’appelant sur la planche photographique; il a mentionné que ce dernier lui avait pris sa casquette, mais ne l’avait pas frappé (cf. PV aud. 18). Il a réitéré ses affirmations à l’audience d’appel. Rien ne permet de mettre en doute les déclarations des deux plaignants, précises, mesurées et circonstanciées. Partant, la participation du prévenu aux brigandages du 7 avril 2019 à l’égard des deux victimes doit être admise. Les faits reprochés au prévenu sous chiffre 3.3 de l’état de fait doivent ainsi être retenus à sa charge, étant précisé que le prévenu n’a pas pris possession du collier, ni de la ceinture, du plaignant H.________, de sorte que seule la tentative sera retenue concernant les faits commis à l’encontre de ce plaignant.</w:t>
      </w:r>
    </w:p>
    <w:p>
      <w:r>
        <w:t>- 22 -</w:t>
      </w:r>
    </w:p>
    <w:p>
      <w:r>
        <w:rPr>
          <w:b/>
        </w:rPr>
        <w:t>E. 5.1</w:t>
      </w:r>
    </w:p>
    <w:p>
      <w:r>
        <w:t>L’appelant conclut à la réduction de la peine privative de liberté à 30 jours, celle-ci étant en outre assortie d’un sursis complet. Subsidiairement, il conclut à ce que sa peine privative de liberté soit convertie en une prestation personnelle.</w:t>
      </w:r>
    </w:p>
    <w:p>
      <w:r>
        <w:rPr>
          <w:b/>
        </w:rPr>
        <w:t>E. 5.2.1</w:t>
      </w:r>
    </w:p>
    <w:p>
      <w:r>
        <w:t>Selon l'art. 11 al. 1 DPMin (loi fédérale du 20 juin 2003 régissant la condition pénale des mineurs; RS 311.1), si le mineur a agi de manière coupable, l'autorité de jugement prononce une peine, en plus d'une mesure de protection ou comme seule mesure. Aux termes de l’art. 26b DPMin, à la demande du mineur, l’autorité de jugement peut convertir une privation de liberté de trois mois au plus en une prestation personnelle de durée égale, à moins que la privation de liberté n’ait été prononcée en lieu et place d’une prestation personnelle non exécutée. La conversion peut être ordonnée immédiatement pour toute la durée de la privation de liberté ou après coup pour le solde de la peine.</w:t>
      </w:r>
    </w:p>
    <w:p>
      <w:r>
        <w:rPr>
          <w:b/>
        </w:rPr>
        <w:t>E. 5.2.2</w:t>
      </w:r>
    </w:p>
    <w:p>
      <w:r>
        <w:t>Aux termes de l'art. 35 al. 1 DPMin, l'autorité de jugement suspend totalement ou partiellement l'exécution d'une amende, d'une prestation personnelle ou d'une privation de liberté de 30 mois au plus lorsqu'une peine ferme ne paraît pas nécessaire pour détourner le mineur d'autres crimes ou délits. Si l'art 35 DPMin élargit le champ des peines susceptibles d'être assorties du sursis et si, à la différence de l'art. 42 CP, seule l'absence de pronostic défavorable est requise, à l'exclusion de toute condition objective liée à des condamnations antérieures, l'octroi du sursis selon le droit pénal des mineurs répond pour le reste aux mêmes critères que ceux applicables aux adultes (TF 6B_695/2011 du 15 mars 2012 consid. 6.3). Le juge doit ainsi poser, pour l'octroi du sursis, un pronostic quant au comportement futur de l'auteur. En l'absence de pronostic défavorable, il doit prononcer le sursis (ATF 134 IV 1 consid. 4.2.2). Pour</w:t>
      </w:r>
    </w:p>
    <w:p>
      <w:r>
        <w:t>- 23 -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w:t>
      </w:r>
    </w:p>
    <w:p>
      <w:r>
        <w:rPr>
          <w:b/>
        </w:rPr>
        <w:t>E. 5.3</w:t>
      </w:r>
    </w:p>
    <w:p>
      <w:r>
        <w:t>L’appelant ne fait valoir aucun grief particulier s’agissant de la quotité de la peine. Sa conclusion portant sur cet objet présuppose bien plutôt l’admission de celle portant sur l’établissement des faits, à laquelle elle apparaît ainsi subordonnée. Il a toutefois été vu que les faits avaient été établis conformément au droit, à cette précision près que le prévenu n’a pas pris possession du collier, ni de la ceinture, de H.________. Partant, à ce sujet, il convient de retenir la qualification de tentative (achevée) de brigandage en lieu et place de celle de brigandage (consommé). La déclaration de culpabilité doit être modifiée d’office dans ce sens (art. 404 al. 2 CPP). L’appréciation de la culpabilité de l’auteur n’en est néanmoins pas affectée. En effet, la peine prononcée en première instance est clémente. Les actes incriminés sont particulièrement violents. On doit également relever les récurrentes dénégations du prévenu, qui, à l’audience d’appel encore, a traité les intimés de menteurs. L’attitude et les propos de l’intéressé dénotent ainsi son manque d’amendement et sa dangerosité, s’agissant en particulier d’une inquiétante propension à la violence gratuite et à se faire justice soi-même. Qui plus est, les infractions sont en concours (art. 49 al. 1 CP) et le prévenu a un antécédent pénal dans son pays, également pour des faits de violence. A décharge, la Cour retient une intégration socio-professionnelle adéquate, avec une bonne réussite scolaire, et la convention passée à l’audience d’appel en faveur de l’un des plaignants.</w:t>
      </w:r>
    </w:p>
    <w:p>
      <w:r>
        <w:t>- 24 - Il s’ensuit, au vu de la culpabilité de l’auteur et de son antécédent, que seule une peine privative de liberté se justifie au regard de l’impératif de prévention spéciale, à l’exclusion d’une prestation personnelle.</w:t>
      </w:r>
    </w:p>
    <w:p>
      <w:r>
        <w:rPr>
          <w:b/>
        </w:rPr>
        <w:t>E. 5.4</w:t>
      </w:r>
    </w:p>
    <w:p>
      <w:r>
        <w:t>Quant au sursis assortissant la peine privative de liberté, que l’appelant voudrait complet, la question déterminante est celle du pronostic à poser. Celui-ci est défavorable. En effet, le 28 février 2018, l’appelant a déjà été condamné par le Tribunal pour enfants de Bourg-en-Bresse à deux mois d’emprisonnement avec sursis pour extorsion par violence, menace ou contrainte de signature, promesse, secret, fonds, valeur ou bien (tentative) et extorsion commise dans un établissement d’enseignement ou d’éducation ou aux abords à l’occasion de l’entrée ou la sortie des élèves (tentative). Par ailleurs, lors de l’audience devant le Tribunal des mineurs, le prévenu a expliqué regretter les actes commis envers [...] et précisé que, s’il n’avait pas présenté ses excuses, c’était car ce dernier s’était montré trop agressif dans ses messages postés sur les réseaux sociaux. Ces explications ne sont pas convaincantes, notamment au regard des violences physiques exercées sur cette victime, qui plus est à la faveur d’un prétexte futile. Elles ne témoignent donc pas d’un quelconque amendement de leur auteur. En outre, comme cela ressort de ses dénégations à l’audience d’appel, le prévenu peine à prendre conscience de ses comportements et de la gravité des faits qui lui sont reprochés. Les actes incriminés démontrent une violence gratuite et une inquiétante propension à la justice privée. Reste que l’appelant dispose de bonnes facultés cognitives et a trouvé une place de travail, qu’il va occuper en alternance avec la formation universitaire qu’il entend suivre prochainement dans son pays. Il affirme avoir abandonné ses mauvaises fréquentations. Il a signé une convention passée lors de l’audience d’appel en faveur de l’un des plaignants.</w:t>
      </w:r>
    </w:p>
    <w:p>
      <w:r>
        <w:t>- 25 - Au regard de l’ensemble de ces éléments et de l’effet de choc d’une partie ferme de la peine à effectuer, on peut admettre que le pronostic est mitigé et, par conséquent, accorder au prévenu un sursis partiel. Vérifiée d’office, la durée du délai d’épreuve est conforme à l’art. 29b al. 1, seconde phrase, DPMin, applicable par analogie en vertu du renvoi de l’art. 35 al. 2, 1re phrase, DPMin.</w:t>
      </w:r>
    </w:p>
    <w:p>
      <w:r>
        <w:rPr>
          <w:b/>
        </w:rPr>
        <w:t>E. 6</w:t>
      </w:r>
    </w:p>
    <w:p>
      <w:r>
        <w:t>A l’audience d’appel, le prévenu a reconnu devoir au plaignant P.________ la somme de 1'000 fr. à titre de réparation du tort moral pour les faits survenus le 25 avril 2019, ce montant étant payable en deux fois, les 31 août et 30 septembre 2021. Ce demandeur n’a pas réservé d’autres prétentions. Partant, il doit être pris acte de cette convention et le chiffre IV du dispositif du jugement entrepris sera réformé d’office en ce sens que P.________ n’est pas renvoyé à agir par la voie civile.</w:t>
      </w:r>
    </w:p>
    <w:p>
      <w:r>
        <w:rPr>
          <w:b/>
        </w:rPr>
        <w:t>E. 7</w:t>
      </w:r>
    </w:p>
    <w:p>
      <w:r>
        <w:t>Vu l’issue de l’appel, les frais d’appel (art. 21 al. 1 et 2 TFIP [Tarif des frais de procédure et indemnités en matière pénale du 28 septembre 2010; RSV 312.03.1]) seront mis à la charge de l’appelant, qui succombe (art. 428 al. 1, 1re phrase, CPP). Outre l’émolument, réduit de moitié conformément à l’art. 21 al. 3 TFIP (2'130 fr./2), par 1'065 fr., les frais d’appel comprennent l’indemnité en faveur du défenseur d’office de l’appelant (art. 422 al. 1 et al. 2 let. a CPP). Cette indemnité doit être arrêtée sur la base de la liste d’opérations produite (P. 38). Il y a ainsi lieu de retenir une durée d’activité d’avocat de cinq heures et demie, y compris l’audience d’appel, ce qui correspond à des honoraires de 990 francs. A ces honoraires doivent être ajoutés des débours forfaitaires à concurrence de 2 % (art. 3bis al. 1 RAJ [Règlement du 7 décembre 2010 sur l'assistance judiciaire en matière civile; BLV 211.02.3], applicable par renvoi de l’art. 26b TFIP), ainsi qu’une vacation d’avocate de 120 fr. pour l’audience</w:t>
      </w:r>
    </w:p>
    <w:p>
      <w:r>
        <w:t>- 26 - d’appel, plus la TVA sur le tout. L’indemnité s’élève donc à 1'216 fr. 80, débours et TVA compris. L’appelant ne sera tenu de rembourser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