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PM19.003137 vom 29. Januar 2021</w:t>
      </w:r>
    </w:p>
    <w:p>
      <w:r>
        <w:t>VD Tribunal cantonal, 2021-01-29, FR</w:t>
      </w:r>
    </w:p>
    <w:p>
      <w:r>
        <w:rPr>
          <w:b/>
        </w:rPr>
        <w:t xml:space="preserve">Quelle: </w:t>
      </w:r>
      <w:r>
        <w:t>https://mcp.opencaselaw.ch/entscheid/vd_gerichte_PM19.003137</w:t>
      </w:r>
    </w:p>
    <w:p>
      <w:r>
        <w:t>FR: VD_GERICHTE PM19.003137 du 29 janvier 2021</w:t>
      </w:r>
    </w:p>
    <w:p>
      <w:r>
        <w:t>IT: VD_GERICHTE PM19.003137 del 29 gennaio 2021</w:t>
      </w:r>
    </w:p>
    <w:p>
      <w:pPr>
        <w:pStyle w:val="Heading2"/>
      </w:pPr>
      <w:r>
        <w:t>Erwägungen</w:t>
      </w:r>
    </w:p>
    <w:p>
      <w:r>
        <w:rPr>
          <w:b/>
        </w:rPr>
        <w:t>E. 38</w:t>
      </w:r>
    </w:p>
    <w:p>
      <w:r>
        <w:t>consid. 2a ; cf. aussi, quant à la notion d'arbitraire, ATF 136 III 552 consid. 4.2). 3.2 En l’espèce, l’appelant admet qu’il était présent sur le lieu de l’agression (PV aud. 7 R. 6, R. 10 et R. 11 ; PV aud. 10 l. 63 ; PV aud. l. 93), mais il soutient qu’il n’aurait pas été reconnu formellement par les victimes. Tout d’abord, B.T.________ l’a formellement reconnu sur une planche photographique lors de son audition du 24 août 2018 comme étant celui qui avait donné le premier coup de poing à N.________ (PV aud. 5 R. 6). Lors de son audition par le Président du Tribunal des mineurs le 28 mai 2019, B.T.________ a confirmé avoir reconnu A.T.________ sur les photographies (PV aud. 9 ll. 35-36). Le fait que N.________ ait dit, lors de son audition du 26 novembre 2018, que la photographie no 7 était celle qui ressemblait le plus à celui qui l’avait frappé (PV aud. 6 R. 7) est donc suffisant pour confirmer qu’il s’agissait bien de l’appelant, ce d’autant que personne n’a prétendu qu’une autre personne représentée sur la planche photographique était présente à ce moment-là et que l’appelant a lui- même admis qu’il était présent. De plus, l’appelant était facilement reconnaissable à son teint de peau, puisque même s’il n’est « pas vraiment black black », comme l’a dit B.T.________ à l’audience du 18 février 2020 (PV aud. 11 l. 333), son épiderme est nettement plus sombre que celui de ses deux acolytes V.________ et J.________ (cf. annexe au PV aud. 4, photographies nos 6 et 14). Il était donc aisé, pour les victimes, de déterminer si l’appelant avait participé à leur agression et quel avait été son rôle. Il n’y a donc pas de doute possible sur la personne. Les déclarations des lésés B.T.________ et N.________ contiennent certes des divergences sur des points de détail, mais leurs versions des faits sont dans les grandes lignes constantes et concordantes. En effet, B.T.________ a d’emblée expliqué, lorsqu’il s’est rendu aux urgences le jour des faits (P. 5), qu’il avait été agressé par quatre hommes alors qu’il rentrait avec son ami N.________, que l’un d’eux les avait insultés, qu’un premier coup de poing avait été donné à N.________ qui était tombé par terre et avait perdu connaissance, que V.________ et un autre homme l’avaient ensuite</w:t>
      </w:r>
    </w:p>
    <w:p>
      <w:r>
        <w:t>- 14 - roué de coups, qu’ils l’avait fait tomber à terre et qu’ils avaient continué de lui donner des coups de poing et de pied au niveau de la tête et sur le corps. B.T.________ a confirmé cette version des faits au cours de l’instruction (PV aud. 1, 4, 5 et 9). Lorsque la police a pris contact avec N.________ par téléphone le 4 mai 2018, le lésé a confirmé les déclarations de son ami B.T.________ (P. 8 p. 6). Lors de son audition du 26 novembre 2018, N.________ a reconnu l’appelant comme étant la personne qui ressemblait le plus à celui qui lui avait donné un coup de poing au visage. Quant à V.________ et J.________, B.T.________ les a formellement reconnus le 22 juin 2018 (PV aud. 4) et N.________ le 26 novembre 2018 (PV aud. 6). La Cour de céans constate en revanche que l’appelant a beaucoup varié dans ses déclarations, qu’il s’est contredit et qu’il a menti. Lorsqu’il a été contrôlé par la police le soir des faits, il a expliqué qu’il avait été promené le chien avec J.________ après leur sortie à Montreux, qu’ils étaient seulement les deux et qu’il n’était pas au courant d’une quelconque bagarre (P. 7 p. 3). Lorsqu’il a été auditionné par la police le 7 mars 2019, il a tout d’abord affirmé qu’il n’avait rien vu (PV aud. 7 R. 6 et R. 10), avant de dire qu’il avait juste regardé (PV aud. 7 R. 11), non sans avoir commencé par nier connaître V.________ et J.________ (PV aud. 7 R. 6). Ce n’est qu’après avoir été confronté aux déclarations de B.T.________ et de N.________ que l’appelant a admis qu’il était avec un groupe de quatre ou cinq personnes tout en disant qu’il était avec J.________ et qu’il était possible que V.________ ait été là, mais que celui-ci ne l’avait pas « marqué » (PV aud. 7 R. 7). Les contradictions claires relevées par les premiers juges (jugement consid. 7) étant ainsi avérées, aucune crédibilité ne peut être accordée aux dénégations de l’appelant. Si, comme il le prétend, l’appelant n’avait rien à voir avec l’agression litigieuse, il se serait d’emblée expliqué sur sa présence et sur son rôle lors du contrôle de police le soir des faits, d’autant que, selon ses dires, V.________ et J.________ n’étaient pas vraiment ses amis, puisqu’il ne les connaissait que depuis quelques heures au plus.</w:t>
      </w:r>
    </w:p>
    <w:p>
      <w:r>
        <w:t>- 15 - Partant, il n’y a aucune raison de s’écarter des déclarations crédibles et précises du plaignant et du lésé N.________, de sorte que celles-ci doivent être retenues. Mal fondé, ce moyen doit être rejeté. 4. 4.1 L’appelant conteste ensuite que les faits reprochés soient constitutifs d’une agression. Il fait valoir que l’agression a été retenue par les premiers juges uniquement parce que les infractions de lésions corporelles simples et de dommages à la propriété étaient prescrites, qu’il n’y a, du point de vue de la procédure, qu’une seule victime, que l’ordonnance condamnant V.________ et J.________ ne fait pas mention de l’infraction d’agression et que les faits reprochés sont tout au plus constitutifs de lésions corporelles simples et de dommages à la propriété, infractions qui sont prescrites. 4.2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 la ou les victimes restent passives ou se bornent à tenter de se défendre (Donatsch, Strafrecht III, Delikte gegen den Einzelnen, 11e éd., 2018, n. 6.1 ad art. 134 CP ; Corboz, Les infractions en droit suisse, vol. I, 3e éd., Berne 2010, n. 6 ad art. 134 CP).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w:t>
      </w:r>
    </w:p>
    <w:p>
      <w:r>
        <w:t>- 16 -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122 ss CP ne peut être envisagé que si, ensuite d'une agression, une personne déterminée autre que celle qui a été blessée a été effectivement mise en danger (ATF 135 IV 152 consid. 2.1.2 ; ATF 118 IV 227 consid. 5b). Un concours entre l’infraction de lésion et l’agression est néanmoins possible lorsque la victime n’a subi que des lésions corporelles simples, à condition que la mise en danger de la victime ait dépassé l’intensité du résultat survenu (ATF 135 IV 152 consid. 2.1.2). 4.3 En l’espèce, à l’ouverture des débats du 29 janvier 2021, le Tribunal des mineurs a, comme le lui imposait l’art. 344 CPP, d’emblée informé les comparants qu’il se réservait le droit de retenir l’infraction d’agression pour les faits retenus. Du point de vue factuel, la présence et la participation de l’appelant à l’agression de B.T.________ et de N.________ avec trois ou quatre autres agresseurs est acquise. L’appelant ne remet de toute manière pas en cause le fait qu’il s’est trouvé, de manière intentionnelle, dans le groupe des agresseurs du plaignant et de N.________. En outre, l’appelant a suivi ses camarades dans leur décision d’agresser les deux victimes. A.T.________ a donné le premier coup, puis tout s’est passé très vite. L’appelant ne conteste pas non plus que les deux victimes ont subi des lésions corporelles à la suite de l’agression commise par le groupe dont il faisait partie. Tous les éléments constitutifs de l’agression au sens de l’art. 134 CP sont donc réalisés, d’autant que, selon la jurisprudence du Tribunal fédéral (cf. TF 6B_402/2019 du 27 août 2019 consid. 2.2), le fait que l’appelant ait ou non lui-même frappé les victimes n’est pas déterminant. En outre, peu importe qu’il n’y ait, « procéduralement</w:t>
      </w:r>
    </w:p>
    <w:p>
      <w:r>
        <w:t>- 17 - parlant », qu’une seule victime. La jurisprudence dont se prévaut l’appelant à cet égard (ATF 118 II – recte IV – 227 consid. 5b) n’est pas pertinente, puisqu’elle exclut l’agression lorsque seule une personne lésée a été attaquée et qu’il n’est en l’occurrence pas contesté que deux personnes ont été attaquées et blessées. Le fait que seul un des deux lésés ait déposé plainte ne change rien à ce constat. C’est donc à juste titre que la qualification d’agression a été retenue, à l’exclusion de celle de lésions corporelles simples. 5. L’appelant, qui conclut à son acquittement, ne conteste pas la quotité de la peine en tant que telle. Examinée d’office, la sanction, fixée en application des critères légaux à charge et à décharge, et conformément à la lourde culpabilité et à la situation personnelle de A.T.________, ne prête pas le flanc à la critique et doit être confirmée. La Cour de céans fait donc sienne la motivation claire et convaincante des premiers juges telle qu’exposée dans le jugement entrepris (art. 82 al. 4 CPP ; Jugement p. 6), conduisant à condamner l’appelant pour agression à une peine privative de liberté de 10 jours avec sursis pendant un an (cf. art. 11 al. 1, 25 al. 1, 29b al. 1 et 35 al. 1 DPMin [Loi fédérale du 20 juin 2003 régissant la condition pénale des mineurs ; RS 311.1]). 6. En définitive, l’appel de A.T.________ doit être rejeté et le jugement entrepris confirmé. Sur la base de la liste des opérations produites par Me laurent Roulier, défenseur d’office de A.T.________ (P. 36) – dont il n’y a pas lieu de s’écarter si ce n’est pour y ajouter 40 minutes pour l’audience d’appel – une indemnité totale de 1'325 fr. 65, montant correspondant à 40 minutes d’activité d’avocat breveté au tarif horaire de 180 fr., soit 120 fr., 9h10 d’activité d’avocat stagiaire au tarif horaire de 110 fr., une vacation à 80 fr., 22 fr. 55 de débours forfaitaires à 2% et 94 fr. 75 de TVA (art. 2 al. 1 let. a et b, 3bis al. 1 et al. 3 RAJ [Règlement sur l’assistance judiciaire en matière civile du 7 décembre 2019 ; BLV 211.02.3], applicables par renvoi</w:t>
      </w:r>
    </w:p>
    <w:p>
      <w:r>
        <w:t>- 18 - de l’art. 26b TFIP [Tarif des frais de procédure et indemnités en matière pénale du 28 septembre 2010 ; BLV 312.03.1]), doit être allouée à Me Laurent Roulier pour la procédure d’appel, à la charge de A.T.________. Vu l’issue de la cause, les frais de la procédure d’appel, par 2'185 fr. 65, constitués en l’espèce de l'émolument de jugement réduit de moitié, par 860 fr., ainsi que de l’indemnité allouée au défenseur d’office de A.T.________, par 1'325 fr. 65, seront mis à la charge de A.T.________, qui succombe (art. 428 al. 1 CPP ; art. 44 PPMin). A.T.________ ne sera tenu de rembourser à l’Etat le montant de l’indemnité en faveur de son défenseur d’office que lorsque sa situation financière le permettra (art. 135 al. 4 let. a CPP ; art.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