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PM18.008847 vom 16. Oktober 2018</w:t>
      </w:r>
    </w:p>
    <w:p>
      <w:r>
        <w:t>VD Tribunal cantonal, 2018-10-16, FR</w:t>
      </w:r>
    </w:p>
    <w:p>
      <w:r>
        <w:rPr>
          <w:b/>
        </w:rPr>
        <w:t xml:space="preserve">Quelle: </w:t>
      </w:r>
      <w:r>
        <w:t>https://mcp.opencaselaw.ch/entscheid/vd_gerichte_PM18.008847</w:t>
      </w:r>
    </w:p>
    <w:p>
      <w:r>
        <w:t>FR: VD_GERICHTE PM18.008847 du 16 octobre 2018</w:t>
      </w:r>
    </w:p>
    <w:p>
      <w:r>
        <w:t>IT: VD_GERICHTE PM18.008847 del 16 ottobre 2018</w:t>
      </w:r>
    </w:p>
    <w:p>
      <w:pPr>
        <w:pStyle w:val="Heading2"/>
      </w:pPr>
      <w:r>
        <w:t>Erwägungen</w:t>
      </w:r>
    </w:p>
    <w:p>
      <w:r>
        <w:rPr>
          <w:b/>
        </w:rPr>
        <w:t>E. 1.1</w:t>
      </w:r>
    </w:p>
    <w:p>
      <w:r>
        <w:t>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 5 octobre 2007;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(Hug/Schläfli, in: Niggli/Heer/Wiprächtiger [éd.], Basler Kommentar,</w:t>
      </w:r>
    </w:p>
    <w:p>
      <w:r>
        <w:t>- 4 - Schweizerische Strafprozess-ordnung, Jugendstrafprozessordnung, Art. 196-457 StPO – Art. 1-54 JStPO, 2e éd., Bâle 2014, n. 1 ad art. 30 PPMin). La recevabilité et les motifs du recours sont régis par l’art. 393 CPP (art. 39 al. 1 PPMin). La compétence pour statuer sur les recours appartient à l'autorité de recours des mineurs (art. 39 al. 3 PPMin; cf. art. 7 al. 1 let. c PPMin), qui est, dans le canton de Vaud, la Chambre des recours pénale du Tribunal cantonal (art. 18 LVPPMin). Ainsi, les parties – à savoir, conformément à l’art. 18 PPMin, le prévenu mineur, ses représentants légaux, la partie plaignante et le ministère public des mineurs – peuvent attaquer une ordonnance de non- entrée en matière dans les dix jours devant l'autorité de recours des mineurs (art. 322 al. 2 CPP; art. 396 al. 1 CPP), pour les motifs énoncés à l’art. 393 al. 2 CPP.</w:t>
      </w:r>
    </w:p>
    <w:p>
      <w:r>
        <w:rPr>
          <w:b/>
        </w:rPr>
        <w:t>E. 1.2</w:t>
      </w:r>
    </w:p>
    <w:p>
      <w:r>
        <w:t>Déposé dans le délai légal par la Procureure du Ministère public central, le recours est recevable.</w:t>
      </w:r>
    </w:p>
    <w:p>
      <w:r>
        <w:rPr>
          <w:b/>
        </w:rPr>
        <w:t>E. 2.1</w:t>
      </w:r>
    </w:p>
    <w:p>
      <w:r>
        <w:t>Le Ministère public soutient que ce serait à tort que le Juge des mineurs a exclu l’existence de l’élément subjectif de l’infraction. De l’avis du Parquet, le comportement de l’intimé permet de penser qu’il avait pour intention de saisir l’occasion d’un véhicule laissé ouvert pour y dérober les objets et valeurs qu’il y trouverait.</w:t>
      </w:r>
    </w:p>
    <w:p>
      <w:r>
        <w:rPr>
          <w:b/>
        </w:rPr>
        <w:t>E. 2.2.1</w:t>
      </w:r>
    </w:p>
    <w:p>
      <w:r>
        <w:t>Aux termes de l'art. 310 al. 1 CPP, une ordonnance de non- 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w:t>
      </w:r>
    </w:p>
    <w:p>
      <w:r>
        <w:t>- 5 - conditions à l'ouverture de l'action pénale ne sont manifestement pas réunis, (b) qu’il existe des empêchements de procéder ou (c) que les conditions mentionnées à l’art. 8 CPP imposent de renoncer à l’ouverture d’une poursuite pénale (TF 1B_111/2012 du 5 avril 2012 consid. 2.1 ; TF 1B_67/2012 du 29 mai 2012 consid. 2.2). Selon l’art. 310 al. 1 let. a CPP,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2.2.2</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Sur le plan subjectif, l’auteur doit avoir agi intentionnellement en ce sens qu’il veut soustraire une chose qu’il sait appartenir à autrui, pour se l’approprier et ainsi se procurer ou procurer à autrui un avantage patrimonial, auquel il n’a pas droit, sans qu’il soit nécessaire qu’il parvienne à ce résultat. L’intention doit porter sur tous les éléments constitutifs de l’infraction ; le dol éventuel suffit. Lorsque l’auteur ne parvient pas à acquérir une nouvelle possession, il y a tentative de vol (Corboz, Les infractions en droit suisse, vol. II, 3e éd., 2010 pp. 249-251 ;</w:t>
      </w:r>
    </w:p>
    <w:p>
      <w:r>
        <w:t>- 6 - Papaux, in Macaluso/Moreillon/Queloz (éd.), Commentaire romand, Bâle 2017, Code pénal II, nn. 45 ss ad art. 139 CP). Il en va ainsi d’un cambrioleur qui repart les mains vides d’un local dans lequel il a pénétré pour commettre des vols (SJ 1996 p. 500).</w:t>
      </w:r>
    </w:p>
    <w:p>
      <w:r>
        <w:rPr>
          <w:b/>
        </w:rPr>
        <w:t>E. 2.3</w:t>
      </w:r>
    </w:p>
    <w:p>
      <w:r>
        <w:t>La Présidente du Tribunal des mineurs a considéré que les deux comparses jouaient à un jeu, que s’ils avaient trouvé quelque chose d’intéressant ils l’auraient pris, mais qu’il n’y avait pas d’intention de voler. Avec le Parquet, il faut admettre que cette appréciation ne résiste pas à l’examen. On rappellera que le comportement de l’intimé consistait à tenter d’ouvrir les portières des véhicules stationnés et que les faits se sont produits au mois d’avril vers 21h40. Agissant à la tombée de la nuit et en portant des gants, l’intimé semblait vouloir passer inaperçu et ne pas laisser de traces. En outre, il a pris la fuite lorsque le plaignant s’est adressé à lui, autre indice qu’il avait conscience d’un comportement délictueux. Enfin et surtout, le mineur a admis que s’il avait trouvé un butin, il l’aurait probablement pris. On ne peut dès lors exclure l’intention de voler au sens de l’art. 139 CP. Il est sans incidence que la fouille technique n’ait rien révélée, car cet élément n’entre pas en considération sur le point de savoir ce que l’auteur recherchait réellement. Contrairement à ce qu’a retenu le premier juge, il y a des indices de tentative de vol, éléments qui doivent faire l’objet d’une enquête.</w:t>
      </w:r>
    </w:p>
    <w:p>
      <w:r>
        <w:rPr>
          <w:b/>
        </w:rPr>
        <w:t>E. 3</w:t>
      </w:r>
    </w:p>
    <w:p>
      <w:r>
        <w:t>Il résulte de ce qui précède que le recours doit être admis, l'ordonnance attaquée annulée et le dossier de la cause renvoyé à la Présidente du Tribunal des mineurs pour qu’elle procède dans le sens des considérants. Les frais de la procédure de recours, constitués en l’espèce du seul émolument d’arrêt (art. 422 al. 1 CPP), par 330 fr. (art. 20 al. 1 et 2 TFIP [Tarif des frais de procédure et indemnités en matière pénale du 28</w:t>
      </w:r>
    </w:p>
    <w:p>
      <w:r>
        <w:t>- 7 - septembre 2010; RSV 312.03.1]), seront laissés à la charge de l’Etat (art. 44 al. 1 PPMin). Par ces motifs, la Chambre des recours pénale prononce : I. Le recours est admis. II. L’ordonnance du 12 juin 2018 est annulée. III. Le dossier de la cause est renvoyé à la Présidente du Tribunal des mineurs pour qu’elle procède dans le sens des considérants. IV. Les frais de la procédure de recours, par 330 fr. (trois cent trente francs), sont laissés à la charge de l’Etat. V. L’arrêt est exécutoire. Le président : La greffière : Du Le présent arrêt, dont la rédaction a été approuvée à huis clos, est notifié, par l'envoi d'une copie complète, à : - [...], pour D.________, - Ministère public central,</w:t>
      </w:r>
    </w:p>
    <w:p>
      <w:r>
        <w:t>- 8 - et communiqué à : - Mme la Présidente du Tribunal des mineurs, - Mme la Procureure du Ministère public central, division affaires spéciales, - [...], - [...], ORPM du Centre,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